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0"/>
        <w:rPr>
          <w:rFonts w:hint="default" w:ascii="Times New Roman" w:hAnsi="Times New Roman" w:cs="Times New Roman"/>
          <w:b w:val="0"/>
          <w:bCs w:val="0"/>
          <w:sz w:val="32"/>
          <w:szCs w:val="32"/>
        </w:rPr>
      </w:pPr>
      <w:r>
        <w:rPr>
          <w:rFonts w:hint="eastAsia" w:ascii="Times New Roman" w:hAnsi="Times New Roman" w:cs="Times New Roman"/>
          <w:b w:val="0"/>
          <w:bCs w:val="0"/>
          <w:sz w:val="32"/>
          <w:szCs w:val="32"/>
          <w:lang w:eastAsia="zh-CN"/>
        </w:rPr>
        <w:t>临</w:t>
      </w:r>
      <w:r>
        <w:rPr>
          <w:rFonts w:hint="default" w:ascii="Times New Roman" w:hAnsi="Times New Roman" w:cs="Times New Roman"/>
          <w:b w:val="0"/>
          <w:bCs w:val="0"/>
          <w:sz w:val="32"/>
          <w:szCs w:val="32"/>
        </w:rPr>
        <w:t>床医学专业本科培养方案</w:t>
      </w:r>
      <w:bookmarkStart w:id="0" w:name="_Toc391994807"/>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 w:name="_Toc2356"/>
      <w:bookmarkStart w:id="2" w:name="_Toc22530"/>
      <w:r>
        <w:rPr>
          <w:rFonts w:hint="default" w:ascii="Times New Roman" w:hAnsi="Times New Roman" w:cs="Times New Roman"/>
          <w:b/>
          <w:bCs/>
          <w:sz w:val="24"/>
        </w:rPr>
        <w:t>一、专业代码及专业名称</w:t>
      </w:r>
      <w:bookmarkEnd w:id="0"/>
      <w:bookmarkEnd w:id="1"/>
      <w:bookmarkEnd w:id="2"/>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专业代码：100201K</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专业名称：临床医学（Clinical Medicine）</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3" w:name="_Toc391994808"/>
      <w:bookmarkStart w:id="4" w:name="_Toc29110"/>
      <w:bookmarkStart w:id="5" w:name="_Toc17927"/>
      <w:r>
        <w:rPr>
          <w:rFonts w:hint="default" w:ascii="Times New Roman" w:hAnsi="Times New Roman" w:cs="Times New Roman"/>
          <w:b/>
          <w:bCs/>
          <w:sz w:val="24"/>
        </w:rPr>
        <w:t>二、培养目标</w:t>
      </w:r>
      <w:bookmarkEnd w:id="3"/>
      <w:r>
        <w:rPr>
          <w:rFonts w:hint="default" w:ascii="Times New Roman" w:hAnsi="Times New Roman" w:cs="Times New Roman"/>
          <w:b/>
          <w:bCs/>
          <w:sz w:val="24"/>
        </w:rPr>
        <w:t>及毕业要求</w:t>
      </w:r>
      <w:bookmarkEnd w:id="4"/>
      <w:bookmarkEnd w:id="5"/>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6" w:name="_Toc20867"/>
      <w:bookmarkStart w:id="7" w:name="_Toc27580"/>
      <w:r>
        <w:rPr>
          <w:rFonts w:hint="default" w:ascii="Times New Roman" w:hAnsi="Times New Roman" w:cs="Times New Roman"/>
          <w:b/>
          <w:bCs/>
          <w:szCs w:val="21"/>
        </w:rPr>
        <w:t>（一）培养目标</w:t>
      </w:r>
      <w:bookmarkEnd w:id="6"/>
      <w:bookmarkEnd w:id="7"/>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本专业立足兵团、服务新疆、面向全国，服务于区域医疗卫生事业发展，培养政治立场坚定，适应我国社会主义现代化建设，德智体美劳全面发展，具有良好职业素养，扎实的医学基础与临床基本理论、知识和基本技能；具备良好的临床能力、终身学习能力、研究能力、创新精神，能够在医疗卫生等相关领域从事临床医疗和卫生服务的高素质应用型临床医学专门人才。</w:t>
      </w:r>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本专业毕业生在毕业后五年应达到以下目标：</w:t>
      </w:r>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培养目标1: 始终保持具备良好的思想品德和医德修养，敬业精神和社会责任感，遵守医疗行业的法律法规和职业道德，为所有患者提供人道主义医疗服务。</w:t>
      </w:r>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培养目标2：具有临床医疗和科学研究的能力，具备扎实的临床医学理论、知识、技能，及良好的沟通能力，促进人群健康，善于使用科学知识和方法分析和解决临床中的实际问题。</w:t>
      </w:r>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培养目标3：有不断吸收新知识和新技术的意识和能力，能够在日新月异的医学进步环境中保持医学业务水平的持续更新。</w:t>
      </w:r>
    </w:p>
    <w:p>
      <w:pPr>
        <w:keepNext w:val="0"/>
        <w:keepLines w:val="0"/>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8" w:name="_Toc592"/>
      <w:bookmarkStart w:id="9" w:name="_Toc381"/>
      <w:r>
        <w:rPr>
          <w:rFonts w:hint="default" w:ascii="Times New Roman" w:hAnsi="Times New Roman" w:cs="Times New Roman"/>
          <w:b/>
          <w:bCs/>
          <w:szCs w:val="21"/>
        </w:rPr>
        <w:t>（二）毕业要求</w:t>
      </w:r>
      <w:bookmarkEnd w:id="8"/>
      <w:bookmarkEnd w:id="9"/>
    </w:p>
    <w:p>
      <w:pPr>
        <w:keepNext w:val="0"/>
        <w:keepLines w:val="0"/>
        <w:pageBreakBefore w:val="0"/>
        <w:widowControl w:val="0"/>
        <w:kinsoku/>
        <w:wordWrap/>
        <w:overflowPunct/>
        <w:topLinePunct w:val="0"/>
        <w:bidi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b w:val="0"/>
          <w:bCs w:val="0"/>
          <w:sz w:val="28"/>
          <w:szCs w:val="28"/>
        </w:rPr>
      </w:pPr>
      <w:r>
        <w:rPr>
          <w:rFonts w:hint="default" w:ascii="Times New Roman" w:hAnsi="Times New Roman" w:cs="Times New Roman"/>
          <w:szCs w:val="21"/>
        </w:rPr>
        <w:t>本专业学生主要学习自然科学、基础医学和临床医学方面的基本知识与基本理论，接受临床技能、沟通技巧等方面的基本训练，掌握初步的医疗、健康宣教、自主学习和终身学习的能力。毕</w:t>
      </w:r>
      <w:r>
        <w:rPr>
          <w:rFonts w:hint="default" w:ascii="Times New Roman" w:hAnsi="Times New Roman" w:cs="Times New Roman"/>
          <w:b w:val="0"/>
          <w:bCs w:val="0"/>
          <w:szCs w:val="21"/>
        </w:rPr>
        <w:t>业生应获得以下的素质、知识和能力。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1.职业素养</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具有良好的医学人文素养，热爱医学、关爱病人，掌握医学相关法律、伦理道德等相关学科基本理论和基本知识，遵纪守法、恪守医德，具备树立终身学习观念。</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1.1树立科学的世界观、人生观和价值观，具有爱国主义和集体主义精神，愿为医学科学事业发展贡献力量。具备良好的思想品德和医德修养，珍视生命，关爱病人，能够根据《中国医师道德准则》为所有患者提供人道主义的医疗服务。</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1.2了解并遵守医疗行业的基本法律法规和职业道德，</w:t>
      </w:r>
      <w:r>
        <w:rPr>
          <w:rFonts w:hint="default" w:ascii="Times New Roman" w:hAnsi="Times New Roman" w:cs="Times New Roman"/>
          <w:b w:val="0"/>
          <w:bCs w:val="0"/>
          <w:kern w:val="0"/>
          <w:szCs w:val="21"/>
        </w:rPr>
        <w:t>用法律保护病人和自身的权益。</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kern w:val="0"/>
          <w:szCs w:val="21"/>
        </w:rPr>
      </w:pPr>
      <w:r>
        <w:rPr>
          <w:rFonts w:hint="default" w:ascii="Times New Roman" w:hAnsi="Times New Roman" w:cs="Times New Roman"/>
          <w:b w:val="0"/>
          <w:bCs w:val="0"/>
          <w:szCs w:val="21"/>
        </w:rPr>
        <w:t>1.3</w:t>
      </w:r>
      <w:r>
        <w:rPr>
          <w:rFonts w:hint="default" w:ascii="Times New Roman" w:hAnsi="Times New Roman" w:cs="Times New Roman"/>
          <w:b w:val="0"/>
          <w:bCs w:val="0"/>
          <w:kern w:val="0"/>
          <w:szCs w:val="21"/>
        </w:rPr>
        <w:t>掌握医疗卫生领域职业精神的内涵</w:t>
      </w:r>
      <w:r>
        <w:rPr>
          <w:rFonts w:hint="default" w:ascii="Times New Roman" w:hAnsi="Times New Roman" w:cs="Times New Roman"/>
          <w:b w:val="0"/>
          <w:bCs w:val="0"/>
          <w:szCs w:val="21"/>
        </w:rPr>
        <w:t>，明确自己的业务能力与权限，</w:t>
      </w:r>
      <w:r>
        <w:rPr>
          <w:rFonts w:hint="default" w:ascii="Times New Roman" w:hAnsi="Times New Roman" w:cs="Times New Roman"/>
          <w:b w:val="0"/>
          <w:bCs w:val="0"/>
          <w:kern w:val="0"/>
          <w:szCs w:val="21"/>
        </w:rPr>
        <w:t>尊重其他卫生从业人员，相互合作和学习。</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kern w:val="0"/>
          <w:szCs w:val="21"/>
        </w:rPr>
        <w:t>1.4</w:t>
      </w:r>
      <w:r>
        <w:rPr>
          <w:rFonts w:hint="default" w:ascii="Times New Roman" w:hAnsi="Times New Roman" w:cs="Times New Roman"/>
          <w:bCs/>
          <w:szCs w:val="21"/>
        </w:rPr>
        <w:t>掌握医学伦理学知识，并将其应用于医疗服务中。</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szCs w:val="21"/>
        </w:rPr>
        <w:t>1.5树立终身学习观念，</w:t>
      </w:r>
      <w:r>
        <w:rPr>
          <w:rFonts w:hint="default" w:ascii="Times New Roman" w:hAnsi="Times New Roman" w:cs="Times New Roman"/>
          <w:bCs/>
          <w:szCs w:val="21"/>
        </w:rPr>
        <w:t>认识到持续自我完善的重要性，不断追求卓越。</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2.科学和学术领域</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kern w:val="2"/>
          <w:szCs w:val="21"/>
        </w:rPr>
      </w:pPr>
      <w:bookmarkStart w:id="10" w:name="_Toc14972"/>
      <w:bookmarkStart w:id="11" w:name="_Toc31641"/>
      <w:bookmarkStart w:id="12" w:name="_Toc29161"/>
      <w:r>
        <w:rPr>
          <w:rFonts w:hint="default" w:ascii="Times New Roman" w:hAnsi="Times New Roman" w:cs="Times New Roman"/>
          <w:b w:val="0"/>
          <w:bCs w:val="0"/>
          <w:color w:val="auto"/>
          <w:kern w:val="2"/>
          <w:szCs w:val="21"/>
        </w:rPr>
        <w:t>具有良好的科学素养，掌握医学及相关学科的基础知识，能够应用科学思维方法，分析和解决临床工作中的问题。</w:t>
      </w:r>
      <w:bookmarkEnd w:id="10"/>
      <w:bookmarkEnd w:id="11"/>
      <w:bookmarkEnd w:id="12"/>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2.1具备自然科学、人文社会科学与行为科学、生物医学、公共卫生、临床医学等学科的基础知识，掌握科学方法，并能用于指导未来的学习和医学实践。</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2.2能够描述生命各阶段疾病的病因、发病机制、自然病程、临床表现、诊断、治疗以及预后。</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2.3能够应用医学等科学知识处理个体、群体和卫生系统中的问题。</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2.4掌握中医学的基本特点和诊疗基本原则。</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2.5能够获取、甄别、理解并应用医学等科学文献中的证据。</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b w:val="0"/>
          <w:bCs w:val="0"/>
          <w:color w:val="auto"/>
        </w:rPr>
      </w:pPr>
      <w:bookmarkStart w:id="13" w:name="_Toc2991"/>
      <w:bookmarkStart w:id="14" w:name="_Toc10180"/>
      <w:bookmarkStart w:id="15" w:name="_Toc16565"/>
      <w:r>
        <w:rPr>
          <w:rFonts w:hint="default" w:ascii="Times New Roman" w:hAnsi="Times New Roman" w:cs="Times New Roman"/>
          <w:b w:val="0"/>
          <w:bCs w:val="0"/>
          <w:color w:val="auto"/>
        </w:rPr>
        <w:t>3.临床能力</w:t>
      </w:r>
      <w:bookmarkEnd w:id="13"/>
      <w:bookmarkEnd w:id="14"/>
      <w:bookmarkEnd w:id="15"/>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具有初步的临床诊疗能力，掌握临床医学学科的基本知识和基本技能，具备一定的临床思维能力、医患沟通能力、信息技术能力，能够应用所学的知识和技能，运用到临床实践中。</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3.1能够系统、正确地采集病史，规范地进行体格检查、书写病历；依据病史和体格检查中的发现，形成初步判断，并进行鉴别诊断，提出合理的治疗原则；能够选择并安全地实施各种常见的临床基本操作。</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3.2能够根据患者的病情、安全和成本效益等因素，选择适宜的临床检查方法并能说明其合理性，做出判断和解释；在上级医生指导下确定进一步的诊疗方案并说明其合理性。</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3.3掌握一定评估和急救技能，能够准确评价病情程度及变化，对需要紧急处理的患者进行急救处理。</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3.4能够以不同的角色进行有效沟通，能够了解患者问题、意见、关注点和偏好，使患者及家属充分理解病情；能够及时向患者和家属、监护人提供相关信息，在他们充分知情的前提下，努力同患者及其家属共同制定诊疗计划。</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3.5能够将疾病预防、早期发现、卫生保健和慢性疾病管理等知识和理念结合到临床实践中；能够掌握临终患者的治疗原则，用对症、心理支持等方法提高舒适度，并使患者获得应有的尊严。</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3.6能够在临床数据系统中有效地检索、解读和记录信息。</w:t>
      </w:r>
    </w:p>
    <w:p>
      <w:pPr>
        <w:pageBreakBefore w:val="0"/>
        <w:widowControl/>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kern w:val="0"/>
        </w:rPr>
      </w:pPr>
      <w:r>
        <w:rPr>
          <w:rFonts w:hint="default" w:ascii="Times New Roman" w:hAnsi="Times New Roman" w:cs="Times New Roman"/>
          <w:b w:val="0"/>
          <w:bCs w:val="0"/>
          <w:kern w:val="0"/>
        </w:rPr>
        <w:t>4.健康和社会</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具有促进群体健康的责任意识；掌握健康监测、评估的基本知识和基本技能，了解医疗卫生体系，能够关注并促进人群健康。</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b w:val="0"/>
          <w:bCs w:val="0"/>
          <w:szCs w:val="21"/>
        </w:rPr>
        <w:t>4.1具有保护并促进个体和</w:t>
      </w:r>
      <w:r>
        <w:rPr>
          <w:rFonts w:hint="default" w:ascii="Times New Roman" w:hAnsi="Times New Roman" w:cs="Times New Roman"/>
          <w:szCs w:val="21"/>
        </w:rPr>
        <w:t>人群健康的责任意识。</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4.2了解影响人群健康、疾病和有效治疗的因素，包括文化、精神和社会价值观的多样化，以及社会经济、心理状态和自然环境因素。</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4.3能够解释和评估人群的健康检查和预防措施，包括人群健康状况的监测、患者随访、用药、康复治疗等方面的指导等。</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4.4了解医疗卫生系统的结构和功能，及医院医疗质量保障和医疗安全管理体系。</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szCs w:val="21"/>
        </w:rPr>
        <w:t>4.5了解全球健康问题以及健康和疾病的决定因素。</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6" w:name="_Toc6476"/>
      <w:bookmarkStart w:id="17" w:name="_Toc13951"/>
      <w:r>
        <w:rPr>
          <w:rFonts w:hint="default" w:ascii="Times New Roman" w:hAnsi="Times New Roman" w:cs="Times New Roman"/>
          <w:b/>
          <w:bCs/>
          <w:sz w:val="24"/>
        </w:rPr>
        <w:t>三、毕业学分要求</w:t>
      </w:r>
      <w:bookmarkEnd w:id="16"/>
      <w:bookmarkEnd w:id="17"/>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临床医学专业毕业生至少修满242学分，其中必修225学分，选修17学分。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8" w:name="_Toc391994810"/>
      <w:bookmarkStart w:id="19" w:name="_Toc15772"/>
      <w:bookmarkStart w:id="20" w:name="_Toc15786"/>
      <w:r>
        <w:rPr>
          <w:rFonts w:hint="default" w:ascii="Times New Roman" w:hAnsi="Times New Roman" w:cs="Times New Roman"/>
          <w:b/>
          <w:bCs/>
          <w:sz w:val="24"/>
        </w:rPr>
        <w:t>四、学制与学位</w:t>
      </w:r>
      <w:bookmarkEnd w:id="18"/>
      <w:bookmarkEnd w:id="19"/>
      <w:bookmarkEnd w:id="20"/>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bookmarkStart w:id="21" w:name="_Toc391994812"/>
      <w:r>
        <w:rPr>
          <w:rFonts w:hint="default" w:ascii="Times New Roman" w:hAnsi="Times New Roman" w:cs="Times New Roman"/>
          <w:szCs w:val="21"/>
        </w:rPr>
        <w:t>标准学制：五年</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bCs/>
          <w:sz w:val="24"/>
        </w:rPr>
      </w:pPr>
      <w:r>
        <w:rPr>
          <w:rFonts w:hint="default" w:ascii="Times New Roman" w:hAnsi="Times New Roman" w:cs="Times New Roman"/>
          <w:szCs w:val="21"/>
        </w:rPr>
        <w:t>授予学位：医学学士</w:t>
      </w:r>
      <w:bookmarkEnd w:id="21"/>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2" w:name="_Toc10432"/>
      <w:bookmarkStart w:id="23" w:name="_Toc26787"/>
      <w:r>
        <w:rPr>
          <w:rFonts w:hint="default" w:ascii="Times New Roman" w:hAnsi="Times New Roman" w:cs="Times New Roman"/>
          <w:b/>
          <w:bCs/>
          <w:sz w:val="24"/>
          <w:lang w:val="en-US" w:eastAsia="zh-CN"/>
        </w:rPr>
        <w:t>五</w:t>
      </w:r>
      <w:r>
        <w:rPr>
          <w:rFonts w:hint="default" w:ascii="Times New Roman" w:hAnsi="Times New Roman" w:cs="Times New Roman"/>
          <w:b/>
          <w:bCs/>
          <w:sz w:val="24"/>
        </w:rPr>
        <w:t>、专业课程设置及教学计划表</w:t>
      </w:r>
      <w:bookmarkEnd w:id="22"/>
      <w:bookmarkEnd w:id="23"/>
      <w:r>
        <w:rPr>
          <w:rFonts w:hint="default" w:ascii="Times New Roman" w:hAnsi="Times New Roman" w:cs="Times New Roman"/>
          <w:b/>
          <w:bCs/>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24" w:name="_Toc30509"/>
      <w:bookmarkStart w:id="25" w:name="_Toc19987"/>
      <w:r>
        <w:rPr>
          <w:rFonts w:hint="default" w:ascii="Times New Roman" w:hAnsi="Times New Roman" w:cs="Times New Roman"/>
          <w:b/>
          <w:bCs/>
          <w:szCs w:val="21"/>
        </w:rPr>
        <w:t>（一）通识教育（必修49.5学分，选修7学分）</w:t>
      </w:r>
      <w:bookmarkEnd w:id="24"/>
      <w:bookmarkEnd w:id="25"/>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kern w:val="2"/>
          <w:szCs w:val="21"/>
        </w:rPr>
      </w:pPr>
      <w:bookmarkStart w:id="26" w:name="_Toc17487"/>
      <w:bookmarkStart w:id="27" w:name="_Toc3183"/>
      <w:bookmarkStart w:id="28" w:name="_Toc26760"/>
      <w:r>
        <w:rPr>
          <w:rFonts w:hint="default" w:ascii="Times New Roman" w:hAnsi="Times New Roman" w:cs="Times New Roman"/>
          <w:b w:val="0"/>
          <w:bCs w:val="0"/>
          <w:color w:val="auto"/>
          <w:kern w:val="2"/>
          <w:szCs w:val="21"/>
        </w:rPr>
        <w:t>修读要求：通识必修课程需修满49.5学分（其中思想政治理论课程修读18学分，大学外语类课程修读9学分，大学计算机类课程修读2学分，高等数学类课程修读3学分，大学物理类课程修读3.5</w:t>
      </w:r>
      <w:r>
        <w:rPr>
          <w:rFonts w:hint="eastAsia" w:ascii="Times New Roman" w:hAnsi="Times New Roman" w:cs="Times New Roman"/>
          <w:b w:val="0"/>
          <w:bCs w:val="0"/>
          <w:color w:val="auto"/>
          <w:kern w:val="2"/>
          <w:szCs w:val="21"/>
          <w:lang w:val="en-US" w:eastAsia="zh-CN"/>
        </w:rPr>
        <w:t>学</w:t>
      </w:r>
      <w:r>
        <w:rPr>
          <w:rFonts w:hint="default" w:ascii="Times New Roman" w:hAnsi="Times New Roman" w:cs="Times New Roman"/>
          <w:b w:val="0"/>
          <w:bCs w:val="0"/>
          <w:color w:val="auto"/>
          <w:kern w:val="2"/>
          <w:szCs w:val="21"/>
        </w:rPr>
        <w:t>分，大学化学类课程修读5学分，体育素质拓展类课程修读9学分）；通识选修课</w:t>
      </w:r>
      <w:r>
        <w:rPr>
          <w:rFonts w:hint="eastAsia" w:ascii="Times New Roman" w:hAnsi="Times New Roman" w:cs="Times New Roman"/>
          <w:b w:val="0"/>
          <w:bCs w:val="0"/>
          <w:color w:val="auto"/>
          <w:kern w:val="2"/>
          <w:szCs w:val="21"/>
          <w:lang w:val="en-US" w:eastAsia="zh-CN"/>
        </w:rPr>
        <w:t>程</w:t>
      </w:r>
      <w:r>
        <w:rPr>
          <w:rFonts w:hint="default" w:ascii="Times New Roman" w:hAnsi="Times New Roman" w:cs="Times New Roman"/>
          <w:b w:val="0"/>
          <w:bCs w:val="0"/>
          <w:color w:val="auto"/>
          <w:kern w:val="2"/>
          <w:szCs w:val="21"/>
        </w:rPr>
        <w:t>最低选修7学分（其中美育类课程2学分，人文社会科学类课程5学分）。</w:t>
      </w:r>
      <w:bookmarkEnd w:id="26"/>
      <w:bookmarkEnd w:id="27"/>
      <w:bookmarkEnd w:id="28"/>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kern w:val="2"/>
          <w:szCs w:val="21"/>
        </w:rPr>
      </w:pPr>
      <w:bookmarkStart w:id="29" w:name="_Toc25027"/>
      <w:bookmarkStart w:id="30" w:name="_Toc7042"/>
      <w:r>
        <w:rPr>
          <w:rFonts w:hint="default" w:ascii="Times New Roman" w:hAnsi="Times New Roman" w:cs="Times New Roman"/>
          <w:b w:val="0"/>
          <w:bCs w:val="0"/>
          <w:color w:val="auto"/>
          <w:kern w:val="2"/>
          <w:szCs w:val="21"/>
        </w:rPr>
        <w:t>相关说明：</w:t>
      </w:r>
      <w:bookmarkEnd w:id="29"/>
      <w:bookmarkEnd w:id="30"/>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kern w:val="2"/>
          <w:szCs w:val="21"/>
        </w:rPr>
      </w:pPr>
      <w:bookmarkStart w:id="31" w:name="_Toc10283"/>
      <w:bookmarkStart w:id="32" w:name="_Toc22186"/>
      <w:r>
        <w:rPr>
          <w:rFonts w:hint="default" w:ascii="Times New Roman" w:hAnsi="Times New Roman" w:cs="Times New Roman"/>
          <w:b w:val="0"/>
          <w:bCs w:val="0"/>
          <w:color w:val="auto"/>
          <w:kern w:val="2"/>
          <w:szCs w:val="21"/>
        </w:rPr>
        <w:t>1.四史课程</w:t>
      </w:r>
      <w:r>
        <w:rPr>
          <w:rFonts w:hint="eastAsia" w:ascii="Times New Roman" w:hAnsi="Times New Roman" w:cs="Times New Roman"/>
          <w:b w:val="0"/>
          <w:bCs w:val="0"/>
          <w:color w:val="auto"/>
          <w:kern w:val="2"/>
          <w:szCs w:val="21"/>
          <w:lang w:eastAsia="zh-CN"/>
        </w:rPr>
        <w:t>由《</w:t>
      </w:r>
      <w:r>
        <w:rPr>
          <w:rFonts w:hint="default" w:ascii="Times New Roman" w:hAnsi="Times New Roman" w:cs="Times New Roman"/>
          <w:b w:val="0"/>
          <w:bCs w:val="0"/>
          <w:color w:val="auto"/>
          <w:kern w:val="2"/>
          <w:szCs w:val="21"/>
        </w:rPr>
        <w:t>党史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新中国史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改革开放史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社会主义发展史</w:t>
      </w:r>
      <w:r>
        <w:rPr>
          <w:rFonts w:hint="eastAsia" w:ascii="Times New Roman" w:hAnsi="Times New Roman" w:cs="Times New Roman"/>
          <w:b w:val="0"/>
          <w:bCs w:val="0"/>
          <w:color w:val="auto"/>
          <w:kern w:val="2"/>
          <w:szCs w:val="21"/>
          <w:lang w:eastAsia="zh-CN"/>
        </w:rPr>
        <w:t>》等</w:t>
      </w:r>
      <w:r>
        <w:rPr>
          <w:rFonts w:hint="default" w:ascii="Times New Roman" w:hAnsi="Times New Roman" w:cs="Times New Roman"/>
          <w:b w:val="0"/>
          <w:bCs w:val="0"/>
          <w:color w:val="auto"/>
          <w:kern w:val="2"/>
          <w:szCs w:val="21"/>
        </w:rPr>
        <w:t>四</w:t>
      </w:r>
      <w:r>
        <w:rPr>
          <w:rFonts w:hint="eastAsia" w:ascii="Times New Roman" w:hAnsi="Times New Roman" w:cs="Times New Roman"/>
          <w:b w:val="0"/>
          <w:bCs w:val="0"/>
          <w:color w:val="auto"/>
          <w:kern w:val="2"/>
          <w:szCs w:val="21"/>
          <w:lang w:eastAsia="zh-CN"/>
        </w:rPr>
        <w:t>门课程</w:t>
      </w:r>
      <w:r>
        <w:rPr>
          <w:rFonts w:hint="default" w:ascii="Times New Roman" w:hAnsi="Times New Roman" w:cs="Times New Roman"/>
          <w:b w:val="0"/>
          <w:bCs w:val="0"/>
          <w:color w:val="auto"/>
          <w:kern w:val="2"/>
          <w:szCs w:val="21"/>
        </w:rPr>
        <w:t>组成</w:t>
      </w:r>
      <w:r>
        <w:rPr>
          <w:rFonts w:hint="eastAsia" w:ascii="Times New Roman" w:hAnsi="Times New Roman" w:cs="Times New Roman"/>
          <w:b w:val="0"/>
          <w:bCs w:val="0"/>
          <w:color w:val="auto"/>
          <w:kern w:val="2"/>
          <w:szCs w:val="21"/>
          <w:lang w:eastAsia="zh-CN"/>
        </w:rPr>
        <w:t>，每门课程</w:t>
      </w:r>
      <w:r>
        <w:rPr>
          <w:rFonts w:hint="default" w:ascii="Times New Roman" w:hAnsi="Times New Roman" w:cs="Times New Roman"/>
          <w:b w:val="0"/>
          <w:bCs w:val="0"/>
          <w:color w:val="auto"/>
          <w:kern w:val="2"/>
          <w:szCs w:val="21"/>
        </w:rPr>
        <w:t>1学分（16学时）</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学生任选</w:t>
      </w:r>
      <w:r>
        <w:rPr>
          <w:rFonts w:hint="eastAsia" w:ascii="Times New Roman" w:hAnsi="Times New Roman" w:cs="Times New Roman"/>
          <w:b w:val="0"/>
          <w:bCs w:val="0"/>
          <w:color w:val="auto"/>
          <w:kern w:val="2"/>
          <w:szCs w:val="21"/>
          <w:lang w:val="en-US" w:eastAsia="zh-CN"/>
        </w:rPr>
        <w:t>1门课程进行学习</w:t>
      </w:r>
      <w:r>
        <w:rPr>
          <w:rFonts w:hint="default" w:ascii="Times New Roman" w:hAnsi="Times New Roman" w:cs="Times New Roman"/>
          <w:b w:val="0"/>
          <w:bCs w:val="0"/>
          <w:color w:val="auto"/>
          <w:kern w:val="2"/>
          <w:szCs w:val="21"/>
        </w:rPr>
        <w:t>。</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新中国史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和</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社会主义发展史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在第3学期开设，</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党史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和</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改革开放史</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rPr>
        <w:t>在第4学期开设。</w:t>
      </w:r>
      <w:bookmarkEnd w:id="31"/>
      <w:bookmarkEnd w:id="32"/>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rPr>
      </w:pPr>
      <w:bookmarkStart w:id="33" w:name="_Toc30939"/>
      <w:bookmarkStart w:id="34" w:name="_Toc11614"/>
      <w:r>
        <w:rPr>
          <w:rFonts w:hint="default" w:ascii="Times New Roman" w:hAnsi="Times New Roman" w:cs="Times New Roman"/>
          <w:b w:val="0"/>
          <w:bCs w:val="0"/>
          <w:color w:val="auto"/>
          <w:kern w:val="2"/>
          <w:szCs w:val="21"/>
          <w:lang w:eastAsia="zh-CN"/>
        </w:rPr>
        <w:t>2.体育类课程：大学体育系列课程由四门课程组成</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lang w:eastAsia="zh-CN"/>
        </w:rPr>
        <w:t>每门课程1学分（32学时）；体能</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lang w:eastAsia="zh-CN"/>
        </w:rPr>
        <w:t>一</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lang w:eastAsia="zh-CN"/>
        </w:rPr>
        <w:t>可在第1</w:t>
      </w:r>
      <w:r>
        <w:rPr>
          <w:rFonts w:hint="eastAsia" w:ascii="Times New Roman" w:hAnsi="Times New Roman" w:cs="Times New Roman"/>
          <w:b w:val="0"/>
          <w:bCs w:val="0"/>
          <w:color w:val="auto"/>
          <w:kern w:val="2"/>
          <w:szCs w:val="21"/>
          <w:lang w:val="en-US" w:eastAsia="zh-CN"/>
        </w:rPr>
        <w:t>或</w:t>
      </w:r>
      <w:r>
        <w:rPr>
          <w:rFonts w:hint="default" w:ascii="Times New Roman" w:hAnsi="Times New Roman" w:cs="Times New Roman"/>
          <w:b w:val="0"/>
          <w:bCs w:val="0"/>
          <w:color w:val="auto"/>
          <w:kern w:val="2"/>
          <w:szCs w:val="21"/>
          <w:lang w:eastAsia="zh-CN"/>
        </w:rPr>
        <w:t>3学期修读</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lang w:eastAsia="zh-CN"/>
        </w:rPr>
        <w:t>体能</w:t>
      </w:r>
      <w:r>
        <w:rPr>
          <w:rFonts w:hint="eastAsia" w:ascii="Times New Roman" w:hAnsi="Times New Roman" w:cs="Times New Roman"/>
          <w:b w:val="0"/>
          <w:bCs w:val="0"/>
          <w:color w:val="auto"/>
          <w:kern w:val="2"/>
          <w:szCs w:val="21"/>
          <w:lang w:eastAsia="zh-CN"/>
        </w:rPr>
        <w:t>（二）</w:t>
      </w:r>
      <w:r>
        <w:rPr>
          <w:rFonts w:hint="default" w:ascii="Times New Roman" w:hAnsi="Times New Roman" w:cs="Times New Roman"/>
          <w:b w:val="0"/>
          <w:bCs w:val="0"/>
          <w:color w:val="auto"/>
          <w:kern w:val="2"/>
          <w:szCs w:val="21"/>
          <w:lang w:eastAsia="zh-CN"/>
        </w:rPr>
        <w:t>可在第2</w:t>
      </w:r>
      <w:r>
        <w:rPr>
          <w:rFonts w:hint="eastAsia" w:ascii="Times New Roman" w:hAnsi="Times New Roman" w:cs="Times New Roman"/>
          <w:b w:val="0"/>
          <w:bCs w:val="0"/>
          <w:color w:val="auto"/>
          <w:kern w:val="2"/>
          <w:szCs w:val="21"/>
          <w:lang w:val="en-US" w:eastAsia="zh-CN"/>
        </w:rPr>
        <w:t>或</w:t>
      </w:r>
      <w:r>
        <w:rPr>
          <w:rFonts w:hint="default" w:ascii="Times New Roman" w:hAnsi="Times New Roman" w:cs="Times New Roman"/>
          <w:b w:val="0"/>
          <w:bCs w:val="0"/>
          <w:color w:val="auto"/>
          <w:kern w:val="2"/>
          <w:szCs w:val="21"/>
          <w:lang w:eastAsia="zh-CN"/>
        </w:rPr>
        <w:t>4学期修读；体育技能课程可在第1至6学期修读</w:t>
      </w:r>
      <w:r>
        <w:rPr>
          <w:rFonts w:hint="eastAsia" w:ascii="Times New Roman" w:hAnsi="Times New Roman" w:cs="Times New Roman"/>
          <w:b w:val="0"/>
          <w:bCs w:val="0"/>
          <w:color w:val="auto"/>
          <w:kern w:val="2"/>
          <w:szCs w:val="21"/>
          <w:lang w:eastAsia="zh-CN"/>
        </w:rPr>
        <w:t>，</w:t>
      </w:r>
      <w:r>
        <w:rPr>
          <w:rFonts w:hint="default" w:ascii="Times New Roman" w:hAnsi="Times New Roman" w:cs="Times New Roman"/>
          <w:b w:val="0"/>
          <w:bCs w:val="0"/>
          <w:color w:val="auto"/>
          <w:kern w:val="2"/>
          <w:szCs w:val="21"/>
          <w:lang w:eastAsia="zh-CN"/>
        </w:rPr>
        <w:t>且两个体育技能课程为不同体育运动项目。</w:t>
      </w:r>
      <w:bookmarkEnd w:id="33"/>
      <w:bookmarkEnd w:id="34"/>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6"/>
        <w:gridCol w:w="783"/>
        <w:gridCol w:w="1136"/>
        <w:gridCol w:w="1"/>
        <w:gridCol w:w="3073"/>
        <w:gridCol w:w="680"/>
        <w:gridCol w:w="640"/>
        <w:gridCol w:w="645"/>
        <w:gridCol w:w="660"/>
        <w:gridCol w:w="67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319"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课程类别</w:t>
            </w:r>
          </w:p>
        </w:tc>
        <w:tc>
          <w:tcPr>
            <w:tcW w:w="11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074"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8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4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时</w:t>
            </w:r>
          </w:p>
        </w:tc>
        <w:tc>
          <w:tcPr>
            <w:tcW w:w="1305"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7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092"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35" w:name="_Toc17260"/>
            <w:bookmarkStart w:id="36" w:name="_Toc27455"/>
            <w:bookmarkStart w:id="37" w:name="_Toc23167"/>
            <w:r>
              <w:rPr>
                <w:rFonts w:hint="default" w:ascii="Times New Roman" w:hAnsi="Times New Roman" w:cs="Times New Roman"/>
                <w:color w:val="auto"/>
              </w:rPr>
              <w:t>开课</w:t>
            </w:r>
            <w:bookmarkEnd w:id="35"/>
            <w:bookmarkEnd w:id="36"/>
            <w:bookmarkEnd w:id="37"/>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38" w:name="_Toc32081"/>
            <w:bookmarkStart w:id="39" w:name="_Toc23221"/>
            <w:bookmarkStart w:id="40" w:name="_Toc15397"/>
            <w:r>
              <w:rPr>
                <w:rFonts w:hint="default" w:ascii="Times New Roman" w:hAnsi="Times New Roman" w:cs="Times New Roman"/>
                <w:color w:val="auto"/>
              </w:rPr>
              <w:t>学院</w:t>
            </w:r>
            <w:bookmarkEnd w:id="38"/>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319"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1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3074"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b/>
                <w:bCs/>
                <w:szCs w:val="21"/>
              </w:rPr>
            </w:pPr>
          </w:p>
        </w:tc>
        <w:tc>
          <w:tcPr>
            <w:tcW w:w="68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理论</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讲授</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7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c>
          <w:tcPr>
            <w:tcW w:w="109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必修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课程</w:t>
            </w: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思想</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政治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理论</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11811001</w:t>
            </w:r>
          </w:p>
        </w:tc>
        <w:tc>
          <w:tcPr>
            <w:tcW w:w="3074"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color w:val="auto"/>
                <w:sz w:val="21"/>
                <w:szCs w:val="21"/>
              </w:rPr>
              <w:t>思想道德与法治（</w:t>
            </w:r>
            <w:r>
              <w:rPr>
                <w:rFonts w:ascii="Times New Roman" w:hAnsi="Times New Roman" w:eastAsia="宋体" w:cs="Times New Roman"/>
                <w:color w:val="000000"/>
              </w:rPr>
              <w:t>Ideological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Moral</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Cultivation</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and</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the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Rule</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of</w:t>
            </w:r>
            <w:r>
              <w:rPr>
                <w:rFonts w:hint="eastAsia" w:ascii="Times New Roman" w:hAnsi="Times New Roman" w:eastAsia="宋体" w:cs="Times New Roman"/>
                <w:color w:val="000000"/>
                <w:lang w:val="en-US" w:eastAsia="zh-CN"/>
              </w:rPr>
              <w:t xml:space="preserve"> </w:t>
            </w:r>
            <w:r>
              <w:rPr>
                <w:rFonts w:ascii="Times New Roman" w:hAnsi="Times New Roman" w:eastAsia="宋体" w:cs="Times New Roman"/>
                <w:color w:val="000000"/>
              </w:rPr>
              <w:t>Law</w:t>
            </w:r>
            <w:r>
              <w:rPr>
                <w:rFonts w:hint="default" w:ascii="Times New Roman" w:hAnsi="Times New Roman" w:eastAsia="宋体" w:cs="Times New Roman"/>
                <w:color w:val="auto"/>
                <w:sz w:val="21"/>
                <w:szCs w:val="21"/>
              </w:rPr>
              <w:t>）</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2.5</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11811002</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中国近现代史纲要（An Outline of Modern and Contemporary Chinese History）</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11811004</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rPr>
              <w:t>形势与政策（Current Situation and Policy）</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2,3,4,5</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11811003</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简明新疆地方史教程（A Concise History of Xinjiang）</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i/>
                <w:szCs w:val="21"/>
              </w:rPr>
            </w:pPr>
            <w:r>
              <w:rPr>
                <w:rFonts w:hint="default" w:ascii="Times New Roman" w:hAnsi="Times New Roman" w:cs="Times New Roman"/>
                <w:szCs w:val="21"/>
              </w:rPr>
              <w:t>21811006</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四史课程</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3-4</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21811002</w:t>
            </w:r>
          </w:p>
        </w:tc>
        <w:tc>
          <w:tcPr>
            <w:tcW w:w="3074"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z w:val="21"/>
                <w:szCs w:val="21"/>
              </w:rPr>
              <w:t>毛泽东思想和中国特色社会主义理论体系概论（</w:t>
            </w:r>
            <w:r>
              <w:rPr>
                <w:rFonts w:hint="default" w:ascii="Times New Roman" w:hAnsi="Times New Roman" w:eastAsia="宋体" w:cs="Times New Roman"/>
                <w:color w:val="auto"/>
                <w:kern w:val="0"/>
                <w:sz w:val="21"/>
                <w:szCs w:val="21"/>
              </w:rPr>
              <w:t>An Introduction to Mao Zedong Thought and the Theoretical System of Socialism with Chinese Characteristics</w:t>
            </w:r>
            <w:r>
              <w:rPr>
                <w:rFonts w:hint="default" w:ascii="Times New Roman" w:hAnsi="Times New Roman" w:eastAsia="宋体" w:cs="Times New Roman"/>
                <w:sz w:val="21"/>
                <w:szCs w:val="21"/>
              </w:rPr>
              <w:t>）</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32</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32</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21811001</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马克思主义基本原理</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eastAsia="宋体" w:cs="Times New Roman"/>
                <w:spacing w:val="-11"/>
                <w:sz w:val="21"/>
                <w:szCs w:val="21"/>
              </w:rPr>
              <w:t>（</w:t>
            </w:r>
            <w:r>
              <w:rPr>
                <w:rFonts w:ascii="Times New Roman" w:hAnsi="Times New Roman" w:eastAsia="宋体" w:cs="Times New Roman"/>
                <w:color w:val="000000"/>
                <w:spacing w:val="-11"/>
                <w:sz w:val="21"/>
                <w:szCs w:val="21"/>
              </w:rPr>
              <w:t>Fundamental</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Principles</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of</w:t>
            </w:r>
            <w:r>
              <w:rPr>
                <w:rFonts w:hint="eastAsia" w:ascii="Times New Roman" w:hAnsi="Times New Roman" w:eastAsia="宋体" w:cs="Times New Roman"/>
                <w:color w:val="000000"/>
                <w:spacing w:val="-11"/>
                <w:sz w:val="21"/>
                <w:szCs w:val="21"/>
                <w:lang w:val="en-US" w:eastAsia="zh-CN"/>
              </w:rPr>
              <w:t xml:space="preserve"> </w:t>
            </w:r>
            <w:r>
              <w:rPr>
                <w:rFonts w:ascii="Times New Roman" w:hAnsi="Times New Roman" w:eastAsia="宋体" w:cs="Times New Roman"/>
                <w:color w:val="000000"/>
                <w:spacing w:val="-11"/>
                <w:sz w:val="21"/>
                <w:szCs w:val="21"/>
              </w:rPr>
              <w:t>Marxism</w:t>
            </w:r>
            <w:r>
              <w:rPr>
                <w:rFonts w:hint="default" w:ascii="Times New Roman" w:hAnsi="Times New Roman" w:eastAsia="宋体" w:cs="Times New Roman"/>
                <w:spacing w:val="-11"/>
                <w:sz w:val="21"/>
                <w:szCs w:val="21"/>
              </w:rPr>
              <w:t>）</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1092"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6"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31811001</w:t>
            </w:r>
          </w:p>
        </w:tc>
        <w:tc>
          <w:tcPr>
            <w:tcW w:w="3074"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eastAsia="宋体" w:cs="Times New Roman"/>
                <w:bCs/>
                <w:spacing w:val="-6"/>
                <w:sz w:val="21"/>
                <w:szCs w:val="21"/>
              </w:rPr>
              <w:t>习近平新时代中国特色社会主义思想概论</w:t>
            </w:r>
            <w:r>
              <w:rPr>
                <w:rFonts w:hint="default" w:ascii="Times New Roman" w:hAnsi="Times New Roman" w:eastAsia="宋体" w:cs="Times New Roman"/>
                <w:spacing w:val="-6"/>
                <w:sz w:val="21"/>
                <w:szCs w:val="21"/>
              </w:rPr>
              <w:t>（An Introduction to Xi Jinping Thought on Socialism with Chinese Characteristics for a New Era）</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5</w:t>
            </w:r>
          </w:p>
        </w:tc>
        <w:tc>
          <w:tcPr>
            <w:tcW w:w="1092"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tcBorders>
              <w:bottom w:val="single" w:color="auto" w:sz="4" w:space="0"/>
            </w:tcBorders>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外语类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4210" w:type="dxa"/>
            <w:gridSpan w:val="3"/>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修读大学外语（大学英语、大学俄语、大学日语等）修满9学分，160学时。</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9</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160</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1,2,3,4</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计算机类课程</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bookmarkStart w:id="41" w:name="_Toc15982"/>
            <w:bookmarkStart w:id="42" w:name="_Toc20653"/>
            <w:bookmarkStart w:id="43" w:name="_Toc7942"/>
            <w:r>
              <w:rPr>
                <w:rFonts w:hint="default" w:ascii="Times New Roman" w:hAnsi="Times New Roman" w:cs="Times New Roman"/>
                <w:b w:val="0"/>
                <w:bCs w:val="0"/>
                <w:color w:val="auto"/>
                <w:szCs w:val="21"/>
              </w:rPr>
              <w:t>10811001</w:t>
            </w:r>
            <w:bookmarkEnd w:id="41"/>
            <w:bookmarkEnd w:id="42"/>
            <w:bookmarkEnd w:id="43"/>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大学计算机基础（Fundamentals of College Computer Science）</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10811002</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多媒体技术及应用（</w:t>
            </w:r>
            <w:r>
              <w:rPr>
                <w:rFonts w:hint="default" w:ascii="Times New Roman" w:hAnsi="Times New Roman" w:cs="Times New Roman"/>
                <w:szCs w:val="21"/>
                <w:lang w:eastAsia="zh-CN"/>
              </w:rPr>
              <w:t>Multimedia Technology and Application</w:t>
            </w:r>
            <w:r>
              <w:rPr>
                <w:rFonts w:hint="default" w:ascii="Times New Roman" w:hAnsi="Times New Roman" w:cs="Times New Roman"/>
                <w:szCs w:val="21"/>
              </w:rPr>
              <w:t>）</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高等</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数学类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11711007</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高等数学D</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（Advanced Mathematics D）</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6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物理类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21711005</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大学物理C（College Physics C）</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21711006</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大学物理实验B（College Physics Experiments B）</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7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09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10711001</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大学化学A（College Chemistry A）</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10711005</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大学化学实验A（College Chemistry Experiments A）</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体育类</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10311003</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体育技能（一）（</w:t>
            </w:r>
            <w:r>
              <w:rPr>
                <w:rFonts w:hint="default" w:ascii="Times New Roman" w:hAnsi="Times New Roman" w:cs="Times New Roman"/>
                <w:szCs w:val="21"/>
                <w:lang w:eastAsia="zh-CN"/>
              </w:rPr>
              <w:t>Sports Skills I</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10311004</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体育技能（二）（</w:t>
            </w:r>
            <w:r>
              <w:rPr>
                <w:rFonts w:hint="default" w:ascii="Times New Roman" w:hAnsi="Times New Roman" w:cs="Times New Roman"/>
                <w:szCs w:val="21"/>
                <w:lang w:eastAsia="zh-CN"/>
              </w:rPr>
              <w:t>Sports Skills II</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10311001</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体能（一）（Physical Capability I）</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1、3</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10311002</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体能（二）（Physical Capability II）</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2、4</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44" w:name="_Toc8893"/>
            <w:bookmarkStart w:id="45" w:name="_Toc20756"/>
            <w:bookmarkStart w:id="46" w:name="_Toc18395"/>
            <w:r>
              <w:rPr>
                <w:rFonts w:hint="default" w:ascii="Times New Roman" w:hAnsi="Times New Roman" w:cs="Times New Roman"/>
                <w:b w:val="0"/>
                <w:bCs w:val="0"/>
                <w:color w:val="auto"/>
                <w:kern w:val="2"/>
                <w:szCs w:val="21"/>
              </w:rPr>
              <w:t>素质</w:t>
            </w:r>
            <w:bookmarkEnd w:id="44"/>
            <w:bookmarkEnd w:id="45"/>
            <w:bookmarkEnd w:id="46"/>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47" w:name="_Toc8818"/>
            <w:bookmarkStart w:id="48" w:name="_Toc6743"/>
            <w:bookmarkStart w:id="49" w:name="_Toc24333"/>
            <w:r>
              <w:rPr>
                <w:rFonts w:hint="default" w:ascii="Times New Roman" w:hAnsi="Times New Roman" w:cs="Times New Roman"/>
                <w:b w:val="0"/>
                <w:bCs w:val="0"/>
                <w:color w:val="auto"/>
                <w:kern w:val="2"/>
                <w:szCs w:val="21"/>
              </w:rPr>
              <w:t>拓展类</w:t>
            </w:r>
            <w:bookmarkEnd w:id="47"/>
            <w:bookmarkEnd w:id="48"/>
            <w:bookmarkEnd w:id="49"/>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50" w:name="_Toc3349"/>
            <w:bookmarkStart w:id="51" w:name="_Toc22168"/>
            <w:bookmarkStart w:id="52" w:name="_Toc27666"/>
            <w:r>
              <w:rPr>
                <w:rFonts w:hint="default" w:ascii="Times New Roman" w:hAnsi="Times New Roman" w:cs="Times New Roman"/>
                <w:b w:val="0"/>
                <w:bCs w:val="0"/>
                <w:color w:val="auto"/>
                <w:kern w:val="2"/>
                <w:szCs w:val="21"/>
              </w:rPr>
              <w:t>课程</w:t>
            </w:r>
            <w:bookmarkEnd w:id="50"/>
            <w:bookmarkEnd w:id="51"/>
            <w:bookmarkEnd w:id="52"/>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12111001</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大学生心理健康教育</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pacing w:val="-11"/>
                <w:sz w:val="21"/>
                <w:szCs w:val="21"/>
              </w:rPr>
            </w:pPr>
            <w:r>
              <w:rPr>
                <w:rFonts w:hint="default" w:ascii="Times New Roman" w:hAnsi="Times New Roman" w:cs="Times New Roman"/>
                <w:spacing w:val="-11"/>
                <w:sz w:val="21"/>
                <w:szCs w:val="21"/>
              </w:rPr>
              <w:t>（Psychological</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pacing w:val="-11"/>
                <w:sz w:val="21"/>
                <w:szCs w:val="21"/>
              </w:rPr>
              <w:t>Health Education for College Students）</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12311002</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大学生职业发展与就业指导</w:t>
            </w:r>
          </w:p>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w:t>
            </w:r>
            <w:r>
              <w:rPr>
                <w:rFonts w:hint="default" w:ascii="Times New Roman" w:hAnsi="Times New Roman" w:cs="Times New Roman"/>
                <w:szCs w:val="21"/>
                <w:lang w:eastAsia="zh-CN"/>
              </w:rPr>
              <w:t>Career Development and Employment Guidance for College Students</w:t>
            </w:r>
            <w:r>
              <w:rPr>
                <w:rFonts w:hint="default" w:ascii="Times New Roman" w:hAnsi="Times New Roman" w:cs="Times New Roman"/>
                <w:szCs w:val="21"/>
              </w:rPr>
              <w:t>）</w:t>
            </w:r>
          </w:p>
        </w:tc>
        <w:tc>
          <w:tcPr>
            <w:tcW w:w="68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4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45"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1,3,5,7</w:t>
            </w:r>
          </w:p>
        </w:tc>
        <w:tc>
          <w:tcPr>
            <w:tcW w:w="1092"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10211001</w:t>
            </w:r>
          </w:p>
        </w:tc>
        <w:tc>
          <w:tcPr>
            <w:tcW w:w="3073"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军事理论与国家安全（</w:t>
            </w:r>
            <w:r>
              <w:rPr>
                <w:rFonts w:hint="default" w:ascii="Times New Roman" w:hAnsi="Times New Roman" w:cs="Times New Roman"/>
                <w:szCs w:val="21"/>
                <w:lang w:eastAsia="zh-CN"/>
              </w:rPr>
              <w:t>Military Theory and National Security</w:t>
            </w:r>
            <w:r>
              <w:rPr>
                <w:rFonts w:hint="default" w:ascii="Times New Roman" w:hAnsi="Times New Roman" w:cs="Times New Roman"/>
                <w:szCs w:val="21"/>
              </w:rPr>
              <w:t>）</w:t>
            </w:r>
          </w:p>
        </w:tc>
        <w:tc>
          <w:tcPr>
            <w:tcW w:w="68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64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4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137"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11611001</w:t>
            </w:r>
          </w:p>
        </w:tc>
        <w:tc>
          <w:tcPr>
            <w:tcW w:w="307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创新创业基础（Fundamentals of Innovation and Entrepreneurship）</w:t>
            </w:r>
          </w:p>
        </w:tc>
        <w:tc>
          <w:tcPr>
            <w:tcW w:w="68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64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45"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675"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109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经济与</w:t>
            </w:r>
          </w:p>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通识</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783"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美育类</w:t>
            </w: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8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3712"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36"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p>
        </w:tc>
        <w:tc>
          <w:tcPr>
            <w:tcW w:w="783"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人文社会科学类</w:t>
            </w:r>
          </w:p>
        </w:tc>
        <w:tc>
          <w:tcPr>
            <w:tcW w:w="1137" w:type="dxa"/>
            <w:gridSpan w:val="2"/>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073"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80" w:type="dxa"/>
            <w:vAlign w:val="center"/>
          </w:tcPr>
          <w:p>
            <w:pPr>
              <w:pageBreakBefore w:val="0"/>
              <w:kinsoku/>
              <w:wordWrap/>
              <w:overflowPunct/>
              <w:topLinePunct w:val="0"/>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3712"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最低选修5学分</w:t>
            </w:r>
          </w:p>
        </w:tc>
      </w:tr>
    </w:tbl>
    <w:p>
      <w:pPr>
        <w:rPr>
          <w:rFonts w:hint="default" w:ascii="Times New Roman" w:hAnsi="Times New Roman" w:cs="Times New Roman"/>
        </w:rPr>
      </w:pPr>
      <w:bookmarkStart w:id="53" w:name="_Toc7907"/>
      <w:r>
        <w:rPr>
          <w:rFonts w:hint="default" w:ascii="Times New Roman" w:hAnsi="Times New Roman" w:cs="Times New Roman"/>
          <w:b/>
          <w:bCs/>
          <w:szCs w:val="21"/>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val="0"/>
        <w:spacing w:before="81" w:beforeLines="25" w:beforeAutospacing="0" w:after="81" w:afterLines="25" w:afterAutospacing="0" w:line="300" w:lineRule="auto"/>
        <w:ind w:leftChars="200" w:right="0" w:rightChars="0"/>
        <w:jc w:val="both"/>
        <w:textAlignment w:val="auto"/>
        <w:outlineLvl w:val="2"/>
        <w:rPr>
          <w:rFonts w:hint="default" w:ascii="Times New Roman" w:hAnsi="Times New Roman" w:cs="Times New Roman"/>
        </w:rPr>
      </w:pPr>
      <w:bookmarkStart w:id="54" w:name="_Toc32615"/>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二</w:t>
      </w:r>
      <w:r>
        <w:rPr>
          <w:rFonts w:hint="eastAsia" w:ascii="Times New Roman" w:hAnsi="Times New Roman" w:cs="Times New Roman"/>
          <w:b/>
          <w:bCs/>
          <w:szCs w:val="21"/>
          <w:lang w:eastAsia="zh-CN"/>
        </w:rPr>
        <w:t>）</w:t>
      </w:r>
      <w:r>
        <w:rPr>
          <w:rFonts w:hint="default" w:ascii="Times New Roman" w:hAnsi="Times New Roman" w:cs="Times New Roman"/>
          <w:b/>
          <w:bCs/>
          <w:szCs w:val="21"/>
        </w:rPr>
        <w:t>专业教育（必修137.5学分，选修10学分）</w:t>
      </w:r>
      <w:bookmarkEnd w:id="53"/>
      <w:bookmarkEnd w:id="54"/>
    </w:p>
    <w:p>
      <w:pPr>
        <w:keepNext w:val="0"/>
        <w:keepLines w:val="0"/>
        <w:pageBreakBefore w:val="0"/>
        <w:widowControl w:val="0"/>
        <w:kinsoku/>
        <w:wordWrap/>
        <w:overflowPunct/>
        <w:topLinePunct w:val="0"/>
        <w:autoSpaceDE w:val="0"/>
        <w:autoSpaceDN w:val="0"/>
        <w:bidi w:val="0"/>
        <w:adjustRightInd/>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rPr>
      </w:pPr>
      <w:r>
        <w:rPr>
          <w:rFonts w:hint="default" w:ascii="Times New Roman" w:hAnsi="Times New Roman" w:cs="Times New Roman"/>
          <w:szCs w:val="21"/>
        </w:rPr>
        <w:t>修读要求：专业教育必修课程需修满137.5学分（其中专业基础课程修读</w:t>
      </w:r>
      <w:r>
        <w:rPr>
          <w:rFonts w:hint="default" w:ascii="Times New Roman" w:hAnsi="Times New Roman" w:cs="Times New Roman"/>
          <w:szCs w:val="21"/>
          <w:lang w:val="en-US" w:eastAsia="zh-CN"/>
        </w:rPr>
        <w:t>59.5</w:t>
      </w:r>
      <w:r>
        <w:rPr>
          <w:rFonts w:hint="default" w:ascii="Times New Roman" w:hAnsi="Times New Roman" w:cs="Times New Roman"/>
          <w:szCs w:val="21"/>
        </w:rPr>
        <w:t>学分，专业</w:t>
      </w:r>
      <w:r>
        <w:rPr>
          <w:rFonts w:hint="default" w:ascii="Times New Roman" w:hAnsi="Times New Roman" w:cs="Times New Roman"/>
          <w:szCs w:val="21"/>
          <w:lang w:val="en-US" w:eastAsia="zh-CN"/>
        </w:rPr>
        <w:t>核心</w:t>
      </w:r>
      <w:r>
        <w:rPr>
          <w:rFonts w:hint="default" w:ascii="Times New Roman" w:hAnsi="Times New Roman" w:cs="Times New Roman"/>
          <w:szCs w:val="21"/>
        </w:rPr>
        <w:t>课程修读</w:t>
      </w:r>
      <w:r>
        <w:rPr>
          <w:rFonts w:hint="default" w:ascii="Times New Roman" w:hAnsi="Times New Roman" w:cs="Times New Roman"/>
          <w:szCs w:val="21"/>
          <w:lang w:val="en-US" w:eastAsia="zh-CN"/>
        </w:rPr>
        <w:t>78</w:t>
      </w:r>
      <w:r>
        <w:rPr>
          <w:rFonts w:hint="default" w:ascii="Times New Roman" w:hAnsi="Times New Roman" w:cs="Times New Roman"/>
          <w:szCs w:val="21"/>
        </w:rPr>
        <w:t>学分），专业教育选修课程最低选修10学分（其中专业方向课程不低于8学分，专业拓展课程不低于2学分）。</w:t>
      </w:r>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366"/>
        <w:gridCol w:w="267"/>
        <w:gridCol w:w="1092"/>
        <w:gridCol w:w="3240"/>
        <w:gridCol w:w="660"/>
        <w:gridCol w:w="660"/>
        <w:gridCol w:w="645"/>
        <w:gridCol w:w="660"/>
        <w:gridCol w:w="64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12" w:type="dxa"/>
            <w:gridSpan w:val="3"/>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类别</w:t>
            </w:r>
          </w:p>
        </w:tc>
        <w:tc>
          <w:tcPr>
            <w:tcW w:w="1092"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课程代码</w:t>
            </w:r>
          </w:p>
        </w:tc>
        <w:tc>
          <w:tcPr>
            <w:tcW w:w="324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课程名称</w:t>
            </w:r>
          </w:p>
        </w:tc>
        <w:tc>
          <w:tcPr>
            <w:tcW w:w="66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分</w:t>
            </w:r>
          </w:p>
        </w:tc>
        <w:tc>
          <w:tcPr>
            <w:tcW w:w="66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总</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时</w:t>
            </w:r>
          </w:p>
        </w:tc>
        <w:tc>
          <w:tcPr>
            <w:tcW w:w="1305" w:type="dxa"/>
            <w:gridSpan w:val="2"/>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学时分配</w:t>
            </w:r>
          </w:p>
        </w:tc>
        <w:tc>
          <w:tcPr>
            <w:tcW w:w="64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开课</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学期</w:t>
            </w:r>
          </w:p>
        </w:tc>
        <w:tc>
          <w:tcPr>
            <w:tcW w:w="1107"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p>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color w:val="auto"/>
              </w:rPr>
            </w:pPr>
            <w:bookmarkStart w:id="55" w:name="_Toc5824"/>
            <w:bookmarkStart w:id="56" w:name="_Toc717"/>
            <w:bookmarkStart w:id="57" w:name="_Toc831"/>
            <w:r>
              <w:rPr>
                <w:rFonts w:hint="default" w:ascii="Times New Roman" w:hAnsi="Times New Roman" w:cs="Times New Roman"/>
                <w:color w:val="auto"/>
              </w:rPr>
              <w:t>开课</w:t>
            </w:r>
            <w:bookmarkEnd w:id="55"/>
            <w:bookmarkEnd w:id="56"/>
            <w:bookmarkEnd w:id="57"/>
          </w:p>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cs="Times New Roman"/>
                <w:color w:val="auto"/>
              </w:rPr>
            </w:pPr>
            <w:bookmarkStart w:id="58" w:name="_Toc5386"/>
            <w:bookmarkStart w:id="59" w:name="_Toc16821"/>
            <w:bookmarkStart w:id="60" w:name="_Toc30722"/>
            <w:r>
              <w:rPr>
                <w:rFonts w:hint="default" w:ascii="Times New Roman" w:hAnsi="Times New Roman" w:cs="Times New Roman"/>
                <w:color w:val="auto"/>
              </w:rPr>
              <w:t>学院</w:t>
            </w:r>
            <w:bookmarkEnd w:id="58"/>
            <w:bookmarkEnd w:id="59"/>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12" w:type="dxa"/>
            <w:gridSpan w:val="3"/>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p>
        </w:tc>
        <w:tc>
          <w:tcPr>
            <w:tcW w:w="1092"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p>
        </w:tc>
        <w:tc>
          <w:tcPr>
            <w:tcW w:w="324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b/>
                <w:bCs/>
                <w:color w:val="auto"/>
                <w:szCs w:val="21"/>
              </w:rPr>
            </w:pPr>
          </w:p>
        </w:tc>
        <w:tc>
          <w:tcPr>
            <w:tcW w:w="66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p>
        </w:tc>
        <w:tc>
          <w:tcPr>
            <w:tcW w:w="66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p>
        </w:tc>
        <w:tc>
          <w:tcPr>
            <w:tcW w:w="64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理论讲授学时</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实验/实践学时</w:t>
            </w:r>
          </w:p>
        </w:tc>
        <w:tc>
          <w:tcPr>
            <w:tcW w:w="64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10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必修</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基础</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课程</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11413001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医学导论</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eastAsia="zh-CN"/>
              </w:rPr>
              <w:t>An Introduction to Medicine</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11413600</w:t>
            </w:r>
          </w:p>
        </w:tc>
        <w:tc>
          <w:tcPr>
            <w:tcW w:w="3240"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医学实验室安全教育（</w:t>
            </w:r>
            <w:r>
              <w:rPr>
                <w:rFonts w:hint="default" w:ascii="Times New Roman" w:hAnsi="Times New Roman" w:cs="Times New Roman"/>
                <w:color w:val="auto"/>
                <w:kern w:val="0"/>
                <w:szCs w:val="21"/>
                <w:lang w:eastAsia="zh-CN"/>
              </w:rPr>
              <w:t>Medical Laboratory Safety Education</w:t>
            </w:r>
            <w:r>
              <w:rPr>
                <w:rFonts w:hint="default" w:ascii="Times New Roman" w:hAnsi="Times New Roman" w:cs="Times New Roman"/>
                <w:color w:val="auto"/>
                <w:kern w:val="0"/>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1,3,5</w:t>
            </w:r>
          </w:p>
        </w:tc>
        <w:tc>
          <w:tcPr>
            <w:tcW w:w="1107" w:type="dxa"/>
            <w:vAlign w:val="center"/>
          </w:tcPr>
          <w:p>
            <w:pPr>
              <w:pStyle w:val="6"/>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11413002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细胞生物学（Cell 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机能实验(一)</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（Functional Experiment 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21413002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医学免疫学（Medical Immunology）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21413003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机能实验(二)</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（Functional Experiment  II）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医学微生物学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（Medical Microbiology）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人体寄生虫学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（Human Parasitology）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医学统计学（Medical Statistics）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医学遗传学（Medical genetics）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医学伦理学（Medical ethics）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31413009</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卫生法学（Health law）</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医学心理学（Medical psychology）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31413006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卫生学（Hygiene）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31413007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医学英语（Medical English）</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31413010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循证医学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（Evidence-based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外科手术学（Operative Surgery）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32713002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影像诊断学（Imaging diagnosis）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32713003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中医学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（Traditional Chinese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口腔科学（Oral Sciences）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皮肤性病学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（Dermatology and Venereology）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眼科学（Ophthalmology）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耳鼻喉科学（Otorhinolaryngology）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全科医学概论（</w:t>
            </w:r>
            <w:r>
              <w:rPr>
                <w:rFonts w:hint="default" w:ascii="Times New Roman" w:hAnsi="Times New Roman" w:cs="Times New Roman"/>
                <w:color w:val="auto"/>
                <w:szCs w:val="21"/>
                <w:lang w:eastAsia="zh-CN"/>
              </w:rPr>
              <w:t>An Introduction to General Medicine</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神经病学（Neurology）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28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临床技能学(一)（Clinical skills Science  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74"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临床技能学(二)（Clinical skills Science II）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42713009</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传染病学（Infectious diseases）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42713010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急诊医学（Emergency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kern w:val="0"/>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42713011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精神</w:t>
            </w:r>
            <w:r>
              <w:rPr>
                <w:rFonts w:hint="default" w:ascii="Times New Roman" w:hAnsi="Times New Roman" w:cs="Times New Roman"/>
                <w:color w:val="auto"/>
                <w:szCs w:val="21"/>
                <w:lang w:val="en-US" w:eastAsia="zh-CN"/>
              </w:rPr>
              <w:t>病</w:t>
            </w:r>
            <w:r>
              <w:rPr>
                <w:rFonts w:hint="default" w:ascii="Times New Roman" w:hAnsi="Times New Roman" w:cs="Times New Roman"/>
                <w:color w:val="auto"/>
                <w:szCs w:val="21"/>
              </w:rPr>
              <w:t>学（</w:t>
            </w:r>
            <w:r>
              <w:rPr>
                <w:rFonts w:hint="default" w:ascii="Times New Roman" w:hAnsi="Times New Roman" w:cs="Times New Roman"/>
                <w:color w:val="auto"/>
              </w:rPr>
              <w:t>Psychiatry</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核心</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11414001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系统解剖学（Systematic Anatomy）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104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11414002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组织胚胎学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（Histology and Embryology）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生物化学（Biochemistry）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104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生理学（Physiology）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医患沟通学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（Doctor-patient Communication）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病理学(一)（Pathology 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病理生理学（Pathophysiology）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21514700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药理学（Pharmacology）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21414005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局部解剖学（Regional Anatomy）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病理学(二)（Pathology II）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31414002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流行病学（Epidemiology）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诊断学（Diagnostics）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128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90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38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内科学(一)（Internal medicine  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外科学(一)（Surgery  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妇产科学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（Obstetrics and Gynecology）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内科学(二)（Internal medicine II）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外科学(二)（Surgery II）</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42714006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儿科学（Pediatrics）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选修</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课程</w:t>
            </w:r>
          </w:p>
        </w:tc>
        <w:tc>
          <w:tcPr>
            <w:tcW w:w="366"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专业方向课程</w:t>
            </w:r>
          </w:p>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kern w:val="0"/>
                <w:szCs w:val="21"/>
              </w:rPr>
            </w:pPr>
          </w:p>
        </w:tc>
        <w:tc>
          <w:tcPr>
            <w:tcW w:w="267"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公共卫生与健康教育模块</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1415001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社会医学（Social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1415002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医学社会学（Medical Sociology）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21415003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食品卫生学（Food Hygiene）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2141500</w:t>
            </w:r>
            <w:r>
              <w:rPr>
                <w:rFonts w:hint="default" w:ascii="Times New Roman" w:hAnsi="Times New Roman" w:cs="Times New Roman"/>
                <w:color w:val="auto"/>
                <w:szCs w:val="21"/>
                <w:lang w:val="en-US" w:eastAsia="zh-CN"/>
              </w:rPr>
              <w:t>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医学营养学（Medical Nutrition）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141500</w:t>
            </w:r>
            <w:r>
              <w:rPr>
                <w:rFonts w:hint="default" w:ascii="Times New Roman" w:hAnsi="Times New Roman" w:cs="Times New Roman"/>
                <w:color w:val="auto"/>
                <w:szCs w:val="21"/>
                <w:lang w:val="en-US" w:eastAsia="zh-CN"/>
              </w:rPr>
              <w:t>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卫生管理学（Health Management）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健康教育学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Health Education）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32715001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医院感染学（Nosocomiology）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专业基础临床延展模块</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141500</w:t>
            </w:r>
            <w:r>
              <w:rPr>
                <w:rFonts w:hint="default" w:ascii="Times New Roman" w:hAnsi="Times New Roman" w:cs="Times New Roman"/>
                <w:color w:val="auto"/>
                <w:szCs w:val="21"/>
                <w:lang w:val="en-US" w:eastAsia="zh-CN"/>
              </w:rPr>
              <w:t>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PBL课程（PBL course）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141500</w:t>
            </w:r>
            <w:r>
              <w:rPr>
                <w:rFonts w:hint="default" w:ascii="Times New Roman" w:hAnsi="Times New Roman" w:cs="Times New Roman"/>
                <w:color w:val="auto"/>
                <w:szCs w:val="21"/>
                <w:lang w:val="en-US" w:eastAsia="zh-CN"/>
              </w:rPr>
              <w:t>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临床免疫学（Clinical Immunology）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断面与影像解剖学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（Sectional  imaging anatomy）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pacing w:val="-6"/>
                <w:szCs w:val="21"/>
              </w:rPr>
              <w:t>临床病理生理学与病例探讨（Clinical pathophysiology and case   study）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法医学（Medicine Jurisprudence）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临床病理学（Clinical Pathology）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31515700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临床药理学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（Clinical Pharmacology）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89"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kern w:val="0"/>
                <w:szCs w:val="21"/>
              </w:rPr>
            </w:pPr>
          </w:p>
        </w:tc>
        <w:tc>
          <w:tcPr>
            <w:tcW w:w="267" w:type="dxa"/>
            <w:vMerge w:val="restart"/>
            <w:vAlign w:val="center"/>
          </w:tcPr>
          <w:p>
            <w:pPr>
              <w:pStyle w:val="2"/>
              <w:keepNext/>
              <w:keepLines/>
              <w:pageBreakBefore w:val="0"/>
              <w:widowControl w:val="0"/>
              <w:kinsoku/>
              <w:wordWrap/>
              <w:overflowPunct/>
              <w:topLinePunct w:val="0"/>
              <w:autoSpaceDE/>
              <w:autoSpaceDN/>
              <w:bidi w:val="0"/>
              <w:adjustRightInd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61" w:name="_Toc8252"/>
            <w:bookmarkStart w:id="62" w:name="_Toc26088"/>
            <w:bookmarkStart w:id="63" w:name="_Toc9927"/>
            <w:r>
              <w:rPr>
                <w:rFonts w:hint="default" w:ascii="Times New Roman" w:hAnsi="Times New Roman" w:cs="Times New Roman"/>
                <w:b w:val="0"/>
                <w:bCs w:val="0"/>
                <w:color w:val="auto"/>
                <w:kern w:val="2"/>
                <w:szCs w:val="21"/>
              </w:rPr>
              <w:t>康复养老与临终关怀模块</w:t>
            </w:r>
            <w:bookmarkEnd w:id="61"/>
            <w:bookmarkEnd w:id="62"/>
            <w:bookmarkEnd w:id="63"/>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141500</w:t>
            </w:r>
            <w:r>
              <w:rPr>
                <w:rFonts w:hint="default" w:ascii="Times New Roman" w:hAnsi="Times New Roman" w:cs="Times New Roman"/>
                <w:color w:val="auto"/>
                <w:szCs w:val="21"/>
                <w:lang w:val="en-US" w:eastAsia="zh-CN"/>
              </w:rPr>
              <w:t>5</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color w:val="auto"/>
                <w:szCs w:val="21"/>
                <w:highlight w:val="yellow"/>
              </w:rPr>
            </w:pPr>
            <w:r>
              <w:rPr>
                <w:rFonts w:hint="default" w:ascii="Times New Roman" w:hAnsi="Times New Roman" w:cs="Times New Roman"/>
                <w:color w:val="auto"/>
                <w:szCs w:val="21"/>
              </w:rPr>
              <w:t>医学生职业形象（Medical students' professional image）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62"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267"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21415006</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rPr>
              <w:t>舒缓医学（Palliative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72"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267"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3141500</w:t>
            </w:r>
            <w:r>
              <w:rPr>
                <w:rFonts w:hint="default" w:ascii="Times New Roman" w:hAnsi="Times New Roman" w:cs="Times New Roman"/>
                <w:color w:val="auto"/>
                <w:szCs w:val="21"/>
                <w:lang w:val="en-US" w:eastAsia="zh-CN"/>
              </w:rPr>
              <w:t>9</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color w:val="auto"/>
                <w:szCs w:val="21"/>
              </w:rPr>
            </w:pPr>
            <w:r>
              <w:rPr>
                <w:rFonts w:hint="default" w:ascii="Times New Roman" w:hAnsi="Times New Roman" w:cs="Times New Roman"/>
                <w:color w:val="auto"/>
                <w:szCs w:val="21"/>
              </w:rPr>
              <w:t>叙事医学</w:t>
            </w:r>
            <w:r>
              <w:rPr>
                <w:rFonts w:hint="default" w:ascii="Times New Roman" w:hAnsi="Times New Roman" w:cs="Times New Roman"/>
                <w:color w:val="auto"/>
                <w:kern w:val="0"/>
                <w:szCs w:val="21"/>
              </w:rPr>
              <w:t>（Narrative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267"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42715001</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b/>
                <w:bCs/>
                <w:color w:val="auto"/>
                <w:kern w:val="0"/>
              </w:rPr>
            </w:pPr>
            <w:r>
              <w:rPr>
                <w:rFonts w:hint="default" w:ascii="Times New Roman" w:hAnsi="Times New Roman" w:cs="Times New Roman"/>
                <w:color w:val="auto"/>
              </w:rPr>
              <w:t>老年医学（Geriatrics）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kern w:val="0"/>
                <w:szCs w:val="21"/>
              </w:rPr>
            </w:pPr>
          </w:p>
        </w:tc>
        <w:tc>
          <w:tcPr>
            <w:tcW w:w="267" w:type="dxa"/>
            <w:vMerge w:val="restart"/>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szCs w:val="21"/>
              </w:rPr>
            </w:pPr>
            <w:r>
              <w:rPr>
                <w:rFonts w:hint="default" w:ascii="Times New Roman" w:hAnsi="Times New Roman" w:cs="Times New Roman"/>
                <w:color w:val="auto"/>
                <w:szCs w:val="21"/>
              </w:rPr>
              <w:t>临床肿瘤与治疗模块</w:t>
            </w:r>
          </w:p>
        </w:tc>
        <w:tc>
          <w:tcPr>
            <w:tcW w:w="1092"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32715002</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both"/>
              <w:textAlignment w:val="bottom"/>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疼痛诊疗学（Pain therapeutics）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widowControl/>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bottom"/>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麻醉与围术期医学（Anesthesia and perioperative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32715004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核医学（Nuclear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0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42715002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重症医学（Intensive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临床肿瘤学（Clinical Oncology）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36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267"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42715004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放射治疗学（Radiation therapy）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拓展</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课程</w:t>
            </w: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21416001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医学发育生物学</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（Medical Development 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4</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2141600</w:t>
            </w:r>
            <w:r>
              <w:rPr>
                <w:rFonts w:hint="default" w:ascii="Times New Roman" w:hAnsi="Times New Roman" w:cs="Times New Roman"/>
                <w:color w:val="auto"/>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R语言（R language）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21416003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神经生物学（Neurobiology）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21416004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生物信息学（Bioinformatics）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20716700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生物应用材料</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eastAsia="zh-CN"/>
              </w:rPr>
              <w:t>（Bioapplied Materials）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48</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化学化工</w:t>
            </w:r>
          </w:p>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141600</w:t>
            </w:r>
            <w:r>
              <w:rPr>
                <w:rFonts w:hint="default" w:ascii="Times New Roman" w:hAnsi="Times New Roman" w:cs="Times New Roman"/>
                <w:color w:val="auto"/>
                <w:szCs w:val="21"/>
                <w:lang w:val="en-US" w:eastAsia="zh-CN"/>
              </w:rPr>
              <w:t>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分子生物学（</w:t>
            </w:r>
            <w:r>
              <w:rPr>
                <w:rFonts w:hint="default" w:ascii="Times New Roman" w:hAnsi="Times New Roman" w:cs="Times New Roman"/>
                <w:color w:val="auto"/>
                <w:szCs w:val="21"/>
                <w:lang w:eastAsia="zh-CN"/>
              </w:rPr>
              <w:t>Molecular Biology</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1.5</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5</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141600</w:t>
            </w:r>
            <w:r>
              <w:rPr>
                <w:rFonts w:hint="default" w:ascii="Times New Roman" w:hAnsi="Times New Roman" w:cs="Times New Roman"/>
                <w:color w:val="auto"/>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分子生物学技术与疾病研究进展（</w:t>
            </w:r>
            <w:r>
              <w:rPr>
                <w:rFonts w:hint="default" w:ascii="Times New Roman" w:hAnsi="Times New Roman" w:cs="Times New Roman"/>
                <w:color w:val="auto"/>
                <w:szCs w:val="21"/>
                <w:lang w:eastAsia="zh-CN"/>
              </w:rPr>
              <w:t>Advances in Molecular Biology  Technology and Diseases</w:t>
            </w:r>
            <w:r>
              <w:rPr>
                <w:rFonts w:hint="default" w:ascii="Times New Roman" w:hAnsi="Times New Roman" w:cs="Times New Roman"/>
                <w:color w:val="auto"/>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32</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5</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31</w:t>
            </w:r>
            <w:r>
              <w:rPr>
                <w:rFonts w:hint="default" w:ascii="Times New Roman" w:hAnsi="Times New Roman" w:cs="Times New Roman"/>
                <w:color w:val="auto"/>
                <w:szCs w:val="21"/>
              </w:rPr>
              <w:t>41600</w:t>
            </w:r>
            <w:r>
              <w:rPr>
                <w:rFonts w:hint="default" w:ascii="Times New Roman" w:hAnsi="Times New Roman" w:cs="Times New Roman"/>
                <w:color w:val="auto"/>
                <w:szCs w:val="21"/>
                <w:lang w:val="en-US" w:eastAsia="zh-CN"/>
              </w:rPr>
              <w:t>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干细胞的基础与临床应用（Basic and clinical application of stem cells）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5</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79"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633" w:type="dxa"/>
            <w:gridSpan w:val="2"/>
            <w:vMerge w:val="continue"/>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p>
        </w:tc>
        <w:tc>
          <w:tcPr>
            <w:tcW w:w="1092"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32016001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医学信息检索与利用</w:t>
            </w:r>
          </w:p>
          <w:p>
            <w:pPr>
              <w:pageBreakBefore w:val="0"/>
              <w:kinsoku/>
              <w:wordWrap/>
              <w:overflowPunct/>
              <w:topLinePunct w:val="0"/>
              <w:autoSpaceDE/>
              <w:autoSpaceDN/>
              <w:bidi w:val="0"/>
              <w:snapToGrid w:val="0"/>
              <w:spacing w:beforeAutospacing="0" w:afterAutospacing="0" w:line="240" w:lineRule="auto"/>
              <w:ind w:left="0" w:leftChars="0" w:right="0" w:rightChars="0" w:firstLine="0" w:firstLineChars="0"/>
              <w:jc w:val="both"/>
              <w:rPr>
                <w:rFonts w:hint="default" w:ascii="Times New Roman" w:hAnsi="Times New Roman" w:cs="Times New Roman"/>
                <w:color w:val="auto"/>
                <w:szCs w:val="21"/>
              </w:rPr>
            </w:pPr>
            <w:r>
              <w:rPr>
                <w:rFonts w:hint="default" w:ascii="Times New Roman" w:hAnsi="Times New Roman" w:cs="Times New Roman"/>
                <w:color w:val="auto"/>
                <w:szCs w:val="21"/>
              </w:rPr>
              <w:t>（Medical Information   Retrieval and Utilization）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64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107"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图书馆</w:t>
            </w:r>
          </w:p>
        </w:tc>
      </w:tr>
    </w:tbl>
    <w:p>
      <w:pPr>
        <w:rPr>
          <w:rFonts w:hint="default" w:ascii="Times New Roman" w:hAnsi="Times New Roman" w:cs="Times New Roman"/>
          <w:b/>
          <w:bCs/>
          <w:szCs w:val="21"/>
        </w:rPr>
      </w:pPr>
      <w:bookmarkStart w:id="64" w:name="_Toc19204"/>
      <w:r>
        <w:rPr>
          <w:rFonts w:hint="default" w:ascii="Times New Roman" w:hAnsi="Times New Roman" w:cs="Times New Roman"/>
          <w:b/>
          <w:bCs/>
          <w:szCs w:val="21"/>
        </w:rPr>
        <w:br w:type="page"/>
      </w:r>
    </w:p>
    <w:p>
      <w:pPr>
        <w:pageBreakBefore w:val="0"/>
        <w:numPr>
          <w:ilvl w:val="0"/>
          <w:numId w:val="1"/>
        </w:numPr>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jc w:val="both"/>
        <w:outlineLvl w:val="2"/>
        <w:rPr>
          <w:rFonts w:hint="default" w:ascii="Times New Roman" w:hAnsi="Times New Roman" w:cs="Times New Roman"/>
          <w:b/>
          <w:bCs/>
          <w:szCs w:val="21"/>
        </w:rPr>
      </w:pPr>
      <w:bookmarkStart w:id="65" w:name="_Toc22395"/>
      <w:bookmarkStart w:id="66" w:name="_Toc2424"/>
      <w:r>
        <w:rPr>
          <w:rFonts w:hint="default" w:ascii="Times New Roman" w:hAnsi="Times New Roman" w:cs="Times New Roman"/>
          <w:b/>
          <w:bCs/>
          <w:szCs w:val="21"/>
        </w:rPr>
        <w:t>实践教学环节（必修38学分）</w:t>
      </w:r>
      <w:bookmarkEnd w:id="64"/>
      <w:bookmarkEnd w:id="65"/>
      <w:bookmarkEnd w:id="66"/>
    </w:p>
    <w:p>
      <w:pPr>
        <w:pStyle w:val="2"/>
        <w:keepNext/>
        <w:keepLines/>
        <w:pageBreakBefore w:val="0"/>
        <w:widowControl w:val="0"/>
        <w:kinsoku/>
        <w:wordWrap/>
        <w:overflowPunct/>
        <w:topLinePunct w:val="0"/>
        <w:autoSpaceDE/>
        <w:autoSpaceDN/>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b w:val="0"/>
          <w:bCs w:val="0"/>
          <w:color w:val="auto"/>
        </w:rPr>
      </w:pPr>
      <w:bookmarkStart w:id="67" w:name="_Toc13014"/>
      <w:bookmarkStart w:id="68" w:name="_Toc9579"/>
      <w:bookmarkStart w:id="69" w:name="_Toc4563"/>
      <w:r>
        <w:rPr>
          <w:rFonts w:hint="default" w:ascii="Times New Roman" w:hAnsi="Times New Roman" w:cs="Times New Roman"/>
          <w:b w:val="0"/>
          <w:bCs w:val="0"/>
          <w:color w:val="auto"/>
        </w:rPr>
        <w:t>修读要求：实践教学环节需修满38学分（其中公共基础实践8学分，专业综合实践30学分）。</w:t>
      </w:r>
      <w:bookmarkEnd w:id="67"/>
      <w:bookmarkEnd w:id="68"/>
      <w:bookmarkEnd w:id="69"/>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8"/>
        <w:gridCol w:w="591"/>
        <w:gridCol w:w="1140"/>
        <w:gridCol w:w="4587"/>
        <w:gridCol w:w="527"/>
        <w:gridCol w:w="678"/>
        <w:gridCol w:w="673"/>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1179" w:type="dxa"/>
            <w:gridSpan w:val="2"/>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类别</w:t>
            </w: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4587"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527"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78"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周</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数</w:t>
            </w:r>
          </w:p>
        </w:tc>
        <w:tc>
          <w:tcPr>
            <w:tcW w:w="673"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137" w:type="dxa"/>
            <w:vAlign w:val="center"/>
          </w:tcPr>
          <w:p>
            <w:pPr>
              <w:pStyle w:val="2"/>
              <w:pageBreakBefore w:val="0"/>
              <w:kinsoku/>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70" w:name="_Toc12072"/>
            <w:bookmarkStart w:id="71" w:name="_Toc14127"/>
            <w:bookmarkStart w:id="72" w:name="_Toc23572"/>
            <w:r>
              <w:rPr>
                <w:rFonts w:hint="default" w:ascii="Times New Roman" w:hAnsi="Times New Roman" w:cs="Times New Roman"/>
                <w:color w:val="auto"/>
              </w:rPr>
              <w:t>开课</w:t>
            </w:r>
            <w:bookmarkEnd w:id="70"/>
            <w:bookmarkEnd w:id="71"/>
            <w:bookmarkEnd w:id="72"/>
          </w:p>
          <w:p>
            <w:pPr>
              <w:pStyle w:val="2"/>
              <w:pageBreakBefore w:val="0"/>
              <w:kinsoku/>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73" w:name="_Toc32090"/>
            <w:bookmarkStart w:id="74" w:name="_Toc7402"/>
            <w:bookmarkStart w:id="75" w:name="_Toc22999"/>
            <w:r>
              <w:rPr>
                <w:rFonts w:hint="default" w:ascii="Times New Roman" w:hAnsi="Times New Roman" w:cs="Times New Roman"/>
                <w:color w:val="auto"/>
              </w:rPr>
              <w:t>学院</w:t>
            </w:r>
            <w:bookmarkEnd w:id="73"/>
            <w:bookmarkEnd w:id="74"/>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教学</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环节</w:t>
            </w:r>
          </w:p>
        </w:tc>
        <w:tc>
          <w:tcPr>
            <w:tcW w:w="591"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公共</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基础</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12517001</w:t>
            </w:r>
          </w:p>
        </w:tc>
        <w:tc>
          <w:tcPr>
            <w:tcW w:w="4587"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入学教育与军事技能（</w:t>
            </w:r>
            <w:r>
              <w:rPr>
                <w:rFonts w:hint="default" w:ascii="Times New Roman" w:hAnsi="Times New Roman" w:cs="Times New Roman"/>
                <w:kern w:val="0"/>
                <w:szCs w:val="21"/>
                <w:lang w:eastAsia="zh-CN"/>
              </w:rPr>
              <w:t>New Student Orientation and Military Training</w:t>
            </w:r>
            <w:r>
              <w:rPr>
                <w:rFonts w:hint="default" w:ascii="Times New Roman" w:hAnsi="Times New Roman" w:cs="Times New Roman"/>
                <w:kern w:val="0"/>
                <w:szCs w:val="21"/>
              </w:rPr>
              <w:t>）</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12417001</w:t>
            </w:r>
          </w:p>
        </w:tc>
        <w:tc>
          <w:tcPr>
            <w:tcW w:w="4587" w:type="dxa"/>
            <w:vAlign w:val="center"/>
          </w:tcPr>
          <w:p>
            <w:pPr>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105" w:firstLineChars="5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第二课堂（</w:t>
            </w:r>
            <w:r>
              <w:rPr>
                <w:rFonts w:hint="default" w:ascii="Times New Roman" w:hAnsi="Times New Roman" w:cs="Times New Roman"/>
                <w:kern w:val="0"/>
                <w:szCs w:val="21"/>
                <w:lang w:eastAsia="zh-CN"/>
              </w:rPr>
              <w:t>Extracurricular Activities</w:t>
            </w:r>
            <w:r>
              <w:rPr>
                <w:rFonts w:hint="default" w:ascii="Times New Roman" w:hAnsi="Times New Roman" w:cs="Times New Roman"/>
                <w:kern w:val="0"/>
                <w:szCs w:val="21"/>
              </w:rPr>
              <w:t>）</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1-10</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11817001</w:t>
            </w:r>
          </w:p>
        </w:tc>
        <w:tc>
          <w:tcPr>
            <w:tcW w:w="4587"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思想政治理论课综合实践（</w:t>
            </w:r>
            <w:r>
              <w:rPr>
                <w:rFonts w:hint="default" w:ascii="Times New Roman" w:hAnsi="Times New Roman" w:cs="Times New Roman"/>
                <w:kern w:val="0"/>
                <w:szCs w:val="21"/>
                <w:lang w:eastAsia="zh-CN"/>
              </w:rPr>
              <w:t>Comprehensive Practice of the Courses on Ideological and Political Theories</w:t>
            </w:r>
            <w:r>
              <w:rPr>
                <w:rFonts w:hint="default" w:ascii="Times New Roman" w:hAnsi="Times New Roman" w:cs="Times New Roman"/>
                <w:kern w:val="0"/>
                <w:szCs w:val="21"/>
              </w:rPr>
              <w:t xml:space="preserve"> ）</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4暑假</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restart"/>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综合</w:t>
            </w:r>
          </w:p>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11418001</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医疗服务（Medical services）</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2暑假</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31418001</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社区实践（Communities of practice）</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6暑假</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42718001</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临床医学专业强化实习（Clinical medicine specialty intensive practice）</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52718001</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临床医学专业毕业实习（</w:t>
            </w:r>
            <w:r>
              <w:rPr>
                <w:rFonts w:hint="default" w:ascii="Times New Roman" w:hAnsi="Times New Roman" w:cs="Times New Roman"/>
                <w:kern w:val="0"/>
                <w:szCs w:val="21"/>
                <w:lang w:eastAsia="zh-CN"/>
              </w:rPr>
              <w:t>Graduate Practice of Clinical Medicine Major</w:t>
            </w:r>
            <w:r>
              <w:rPr>
                <w:rFonts w:hint="default" w:ascii="Times New Roman" w:hAnsi="Times New Roman" w:cs="Times New Roman"/>
                <w:kern w:val="0"/>
                <w:szCs w:val="21"/>
              </w:rPr>
              <w:t>）</w:t>
            </w:r>
          </w:p>
        </w:tc>
        <w:tc>
          <w:tcPr>
            <w:tcW w:w="52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678"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8,9,10</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31418002</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临床医学专业基础综合考核（Basic comprehensive assessment of clinical medicine specialty）</w:t>
            </w:r>
          </w:p>
        </w:tc>
        <w:tc>
          <w:tcPr>
            <w:tcW w:w="527"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42718002</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临床医学专业临床综合考核（Clinical comprehensive assessment of clinical medicine specialty）</w:t>
            </w:r>
          </w:p>
        </w:tc>
        <w:tc>
          <w:tcPr>
            <w:tcW w:w="527"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588"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591" w:type="dxa"/>
            <w:vMerge w:val="continue"/>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140" w:type="dxa"/>
            <w:vAlign w:val="center"/>
          </w:tcPr>
          <w:p>
            <w:pPr>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52718002</w:t>
            </w:r>
          </w:p>
        </w:tc>
        <w:tc>
          <w:tcPr>
            <w:tcW w:w="458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临床医学专业毕业考核（Graduation examination of clinical medicine specialty）</w:t>
            </w:r>
          </w:p>
        </w:tc>
        <w:tc>
          <w:tcPr>
            <w:tcW w:w="527"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8" w:type="dxa"/>
            <w:shd w:val="clear" w:color="auto" w:fill="auto"/>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73"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137" w:type="dxa"/>
            <w:vAlign w:val="center"/>
          </w:tcPr>
          <w:p>
            <w:pPr>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sz w:val="28"/>
          <w:szCs w:val="28"/>
        </w:rPr>
        <w:sectPr>
          <w:footerReference r:id="rId3" w:type="default"/>
          <w:pgSz w:w="11906" w:h="16838"/>
          <w:pgMar w:top="1701" w:right="1531" w:bottom="1417" w:left="1531" w:header="851" w:footer="992"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76" w:name="_Toc1941"/>
      <w:r>
        <w:rPr>
          <w:rFonts w:hint="default" w:ascii="Times New Roman" w:hAnsi="Times New Roman" w:cs="Times New Roman"/>
          <w:b/>
          <w:bCs/>
          <w:sz w:val="24"/>
          <w:lang w:val="en-US" w:eastAsia="zh-CN"/>
        </w:rPr>
        <w:t>六</w:t>
      </w:r>
      <w:r>
        <w:rPr>
          <w:rFonts w:hint="default" w:ascii="Times New Roman" w:hAnsi="Times New Roman" w:cs="Times New Roman"/>
          <w:b/>
          <w:bCs/>
          <w:sz w:val="24"/>
        </w:rPr>
        <w:t>、全学程学分学时分配表</w:t>
      </w:r>
      <w:bookmarkEnd w:id="76"/>
    </w:p>
    <w:tbl>
      <w:tblPr>
        <w:tblStyle w:val="5"/>
        <w:tblW w:w="9921" w:type="dxa"/>
        <w:jc w:val="center"/>
        <w:tblInd w:w="0" w:type="dxa"/>
        <w:tblLayout w:type="fixed"/>
        <w:tblCellMar>
          <w:top w:w="0" w:type="dxa"/>
          <w:left w:w="108" w:type="dxa"/>
          <w:bottom w:w="0" w:type="dxa"/>
          <w:right w:w="108" w:type="dxa"/>
        </w:tblCellMar>
      </w:tblPr>
      <w:tblGrid>
        <w:gridCol w:w="1143"/>
        <w:gridCol w:w="590"/>
        <w:gridCol w:w="590"/>
        <w:gridCol w:w="590"/>
        <w:gridCol w:w="590"/>
        <w:gridCol w:w="590"/>
        <w:gridCol w:w="590"/>
        <w:gridCol w:w="590"/>
        <w:gridCol w:w="590"/>
        <w:gridCol w:w="590"/>
        <w:gridCol w:w="590"/>
        <w:gridCol w:w="590"/>
        <w:gridCol w:w="590"/>
        <w:gridCol w:w="594"/>
        <w:gridCol w:w="1104"/>
      </w:tblGrid>
      <w:tr>
        <w:tblPrEx>
          <w:tblLayout w:type="fixed"/>
          <w:tblCellMar>
            <w:top w:w="0" w:type="dxa"/>
            <w:left w:w="108" w:type="dxa"/>
            <w:bottom w:w="0" w:type="dxa"/>
            <w:right w:w="108" w:type="dxa"/>
          </w:tblCellMar>
        </w:tblPrEx>
        <w:trPr>
          <w:trHeight w:val="397"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36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通识必修课程</w:t>
            </w:r>
          </w:p>
        </w:tc>
        <w:tc>
          <w:tcPr>
            <w:tcW w:w="11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通识选修课程指导性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专业必修</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课程</w:t>
            </w:r>
          </w:p>
        </w:tc>
        <w:tc>
          <w:tcPr>
            <w:tcW w:w="11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实践教学</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环节</w:t>
            </w:r>
          </w:p>
        </w:tc>
        <w:tc>
          <w:tcPr>
            <w:tcW w:w="1698"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小计</w:t>
            </w:r>
          </w:p>
        </w:tc>
      </w:tr>
      <w:tr>
        <w:tblPrEx>
          <w:tblLayout w:type="fixed"/>
          <w:tblCellMar>
            <w:top w:w="0" w:type="dxa"/>
            <w:left w:w="108" w:type="dxa"/>
            <w:bottom w:w="0" w:type="dxa"/>
            <w:right w:w="108" w:type="dxa"/>
          </w:tblCellMar>
        </w:tblPrEx>
        <w:trPr>
          <w:trHeight w:val="397"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学期已确定课程</w:t>
            </w:r>
          </w:p>
        </w:tc>
        <w:tc>
          <w:tcPr>
            <w:tcW w:w="11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学期未确定</w:t>
            </w:r>
            <w:r>
              <w:rPr>
                <w:rFonts w:hint="default" w:ascii="Times New Roman" w:hAnsi="Times New Roman" w:cs="Times New Roman"/>
                <w:b/>
                <w:bCs/>
                <w:szCs w:val="21"/>
              </w:rPr>
              <w:t>课程</w:t>
            </w:r>
            <w:r>
              <w:rPr>
                <w:rFonts w:hint="default" w:ascii="Times New Roman" w:hAnsi="Times New Roman" w:cs="Times New Roman"/>
                <w:b/>
                <w:bCs/>
                <w:kern w:val="0"/>
                <w:szCs w:val="21"/>
              </w:rPr>
              <w:t>指导性建议</w:t>
            </w: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698"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周数</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学时＋周数</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第一学期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12.75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388+2周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第二学期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14</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112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28</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456+2周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第三学期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94</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14</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27.5</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470</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第四学期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18.5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27</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440+2周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第五学期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6.75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108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19.5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312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32.5</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500</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第六学期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400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28</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416+3周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第七学期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0.25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26.5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440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29</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458</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第八学期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19</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21</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320+3周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第九十学期</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49</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bidi="ar"/>
              </w:rPr>
              <w:t>0+</w:t>
            </w:r>
            <w:r>
              <w:rPr>
                <w:rFonts w:hint="default" w:ascii="Times New Roman" w:hAnsi="Times New Roman" w:cs="Times New Roman"/>
                <w:kern w:val="0"/>
                <w:szCs w:val="21"/>
                <w:lang w:bidi="ar"/>
              </w:rPr>
              <w:t>49周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43.5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736</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112</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137.5</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2280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160</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w:t>
            </w:r>
          </w:p>
        </w:tc>
        <w:tc>
          <w:tcPr>
            <w:tcW w:w="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61</w:t>
            </w:r>
          </w:p>
        </w:tc>
        <w:tc>
          <w:tcPr>
            <w:tcW w:w="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242</w:t>
            </w:r>
          </w:p>
        </w:tc>
        <w:tc>
          <w:tcPr>
            <w:tcW w:w="1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3448+61周</w:t>
            </w:r>
          </w:p>
        </w:tc>
      </w:tr>
    </w:tbl>
    <w:p>
      <w:pPr>
        <w:pageBreakBefore w:val="0"/>
        <w:widowControl/>
        <w:kinsoku/>
        <w:overflowPunct/>
        <w:topLinePunct w:val="0"/>
        <w:bidi w:val="0"/>
        <w:snapToGrid w:val="0"/>
        <w:spacing w:before="81" w:beforeLines="25" w:beforeAutospacing="0" w:after="81" w:afterLines="25" w:afterAutospacing="0" w:line="300" w:lineRule="auto"/>
        <w:ind w:left="0" w:leftChars="0" w:right="0" w:rightChars="0"/>
        <w:jc w:val="both"/>
        <w:textAlignment w:val="center"/>
        <w:rPr>
          <w:rFonts w:hint="default" w:ascii="Times New Roman" w:hAnsi="Times New Roman" w:cs="Times New Roman"/>
          <w:kern w:val="0"/>
          <w:szCs w:val="21"/>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lang w:val="en-US" w:eastAsia="zh-CN"/>
        </w:rPr>
      </w:pPr>
      <w:bookmarkStart w:id="77" w:name="_Toc23600"/>
      <w:r>
        <w:rPr>
          <w:rFonts w:hint="default" w:ascii="Times New Roman" w:hAnsi="Times New Roman" w:cs="Times New Roman"/>
          <w:b/>
          <w:bCs/>
          <w:sz w:val="24"/>
          <w:lang w:val="en-US" w:eastAsia="zh-CN"/>
        </w:rPr>
        <w:t>七、各教学环节最低学分、学时分配表</w:t>
      </w:r>
      <w:bookmarkEnd w:id="77"/>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78" w:name="_Toc20282"/>
      <w:r>
        <w:rPr>
          <w:rFonts w:hint="default" w:ascii="Times New Roman" w:hAnsi="Times New Roman" w:cs="Times New Roman"/>
          <w:b/>
          <w:bCs/>
          <w:szCs w:val="21"/>
        </w:rPr>
        <w:t>（一）各课程类别学分数及学分比例</w:t>
      </w:r>
      <w:bookmarkEnd w:id="78"/>
    </w:p>
    <w:tbl>
      <w:tblPr>
        <w:tblStyle w:val="5"/>
        <w:tblW w:w="992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457"/>
        <w:gridCol w:w="1378"/>
        <w:gridCol w:w="1377"/>
        <w:gridCol w:w="1378"/>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课程类别</w:t>
            </w:r>
          </w:p>
        </w:tc>
        <w:tc>
          <w:tcPr>
            <w:tcW w:w="5514" w:type="dxa"/>
            <w:gridSpan w:val="4"/>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w:t>
            </w:r>
          </w:p>
        </w:tc>
        <w:tc>
          <w:tcPr>
            <w:tcW w:w="137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小计</w:t>
            </w:r>
          </w:p>
        </w:tc>
        <w:tc>
          <w:tcPr>
            <w:tcW w:w="1381"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通识教育课程</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通识必修课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49.5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20.5 %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56.5</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通识选修课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2.9 %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专业教育课程</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专业基础课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val="en-US" w:eastAsia="zh-CN" w:bidi="ar"/>
              </w:rPr>
              <w:t>59.5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r>
              <w:rPr>
                <w:rFonts w:hint="default" w:ascii="Times New Roman" w:hAnsi="Times New Roman" w:cs="Times New Roman"/>
                <w:kern w:val="0"/>
                <w:szCs w:val="21"/>
                <w:lang w:val="en-US" w:eastAsia="zh-CN" w:bidi="ar"/>
              </w:rPr>
              <w:t>4</w:t>
            </w:r>
            <w:r>
              <w:rPr>
                <w:rFonts w:hint="default" w:ascii="Times New Roman" w:hAnsi="Times New Roman" w:cs="Times New Roman"/>
                <w:kern w:val="0"/>
                <w:szCs w:val="21"/>
                <w:lang w:bidi="ar"/>
              </w:rPr>
              <w:t>.</w:t>
            </w:r>
            <w:r>
              <w:rPr>
                <w:rFonts w:hint="default" w:ascii="Times New Roman" w:hAnsi="Times New Roman" w:cs="Times New Roman"/>
                <w:kern w:val="0"/>
                <w:szCs w:val="21"/>
                <w:lang w:val="en-US" w:eastAsia="zh-CN" w:bidi="ar"/>
              </w:rPr>
              <w:t>6</w:t>
            </w:r>
            <w:r>
              <w:rPr>
                <w:rFonts w:hint="default" w:ascii="Times New Roman" w:hAnsi="Times New Roman" w:cs="Times New Roman"/>
                <w:kern w:val="0"/>
                <w:szCs w:val="21"/>
                <w:lang w:bidi="ar"/>
              </w:rPr>
              <w:t xml:space="preserve">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147.5</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专业核心课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val="en-US" w:eastAsia="zh-CN"/>
              </w:rPr>
            </w:pPr>
            <w:r>
              <w:rPr>
                <w:rFonts w:hint="default" w:ascii="Times New Roman" w:hAnsi="Times New Roman" w:cs="Times New Roman"/>
                <w:kern w:val="0"/>
                <w:szCs w:val="21"/>
                <w:lang w:val="en-US" w:eastAsia="zh-CN" w:bidi="ar"/>
              </w:rPr>
              <w:t>78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val="en-US" w:eastAsia="zh-CN" w:bidi="ar"/>
              </w:rPr>
              <w:t>32</w:t>
            </w:r>
            <w:r>
              <w:rPr>
                <w:rFonts w:hint="default" w:ascii="Times New Roman" w:hAnsi="Times New Roman" w:cs="Times New Roman"/>
                <w:kern w:val="0"/>
                <w:szCs w:val="21"/>
                <w:lang w:bidi="ar"/>
              </w:rPr>
              <w:t>.</w:t>
            </w:r>
            <w:r>
              <w:rPr>
                <w:rFonts w:hint="default" w:ascii="Times New Roman" w:hAnsi="Times New Roman" w:cs="Times New Roman"/>
                <w:kern w:val="0"/>
                <w:szCs w:val="21"/>
                <w:lang w:val="en-US" w:eastAsia="zh-CN" w:bidi="ar"/>
              </w:rPr>
              <w:t>2</w:t>
            </w:r>
            <w:r>
              <w:rPr>
                <w:rFonts w:hint="default" w:ascii="Times New Roman" w:hAnsi="Times New Roman" w:cs="Times New Roman"/>
                <w:kern w:val="0"/>
                <w:szCs w:val="21"/>
                <w:lang w:bidi="ar"/>
              </w:rPr>
              <w:t>%</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专业方向课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3.3 %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专业拓展课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0.8 %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实践教学环节</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公共基础实践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3.3 %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38</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专业综合实践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30</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12.4 %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合计总学分</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242</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81"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562" w:firstLineChars="200"/>
        <w:jc w:val="both"/>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79" w:name="_Toc22393"/>
      <w:r>
        <w:rPr>
          <w:rFonts w:hint="default" w:ascii="Times New Roman" w:hAnsi="Times New Roman" w:cs="Times New Roman"/>
          <w:b/>
          <w:bCs/>
          <w:szCs w:val="21"/>
        </w:rPr>
        <w:t>（二）各教学环节学分数、学时数分配表</w:t>
      </w:r>
      <w:bookmarkEnd w:id="79"/>
    </w:p>
    <w:tbl>
      <w:tblPr>
        <w:tblStyle w:val="5"/>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761"/>
        <w:gridCol w:w="1761"/>
        <w:gridCol w:w="297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总学分</w:t>
            </w:r>
          </w:p>
        </w:tc>
        <w:tc>
          <w:tcPr>
            <w:tcW w:w="176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242</w:t>
            </w: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必修学分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课内教学学分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实验教学学分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课外科技活动学分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集中实践教学环节学分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总学时</w:t>
            </w:r>
          </w:p>
        </w:tc>
        <w:tc>
          <w:tcPr>
            <w:tcW w:w="176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4664</w:t>
            </w: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必修课学时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选修课学时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课内教学学时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实践总学分</w:t>
            </w:r>
          </w:p>
        </w:tc>
        <w:tc>
          <w:tcPr>
            <w:tcW w:w="1761"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94.5</w:t>
            </w:r>
          </w:p>
        </w:tc>
        <w:tc>
          <w:tcPr>
            <w:tcW w:w="4733" w:type="dxa"/>
            <w:gridSpan w:val="2"/>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实践总学分占总学分比例</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39.0 %</w:t>
            </w:r>
          </w:p>
        </w:tc>
      </w:tr>
    </w:tbl>
    <w:p>
      <w:bookmarkStart w:id="80" w:name="_GoBack"/>
      <w:bookmarkEnd w:id="8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52"/>
        <w:tab w:val="clear" w:pos="4153"/>
      </w:tabs>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p>
                </w:txbxContent>
              </v:textbox>
            </v:shape>
          </w:pict>
        </mc:Fallback>
      </mc:AlternateContent>
    </w:r>
    <w:r>
      <w:rPr>
        <w:rFonts w:hint="default" w:ascii="Times New Roman" w:hAnsi="Times New Roman" w:cs="Times New Roma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66E08"/>
    <w:multiLevelType w:val="singleLevel"/>
    <w:tmpl w:val="7F366E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50900"/>
    <w:rsid w:val="5D3E2BA2"/>
    <w:rsid w:val="718B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表格"/>
    <w:basedOn w:val="1"/>
    <w:qFormat/>
    <w:uiPriority w:val="0"/>
    <w:pPr>
      <w:snapToGrid w:val="0"/>
      <w:jc w:val="center"/>
    </w:pPr>
    <w:rPr>
      <w:rFonts w:ascii="方正书宋简体" w:hAnsi="宋体" w:eastAsia="方正书宋简体" w:cs="方正书宋简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风风火火1395031505</cp:lastModifiedBy>
  <dcterms:modified xsi:type="dcterms:W3CDTF">2023-04-26T02:14:27Z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