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5" w:afterAutospacing="0" w:line="312" w:lineRule="auto"/>
        <w:ind w:left="300" w:right="150" w:firstLine="390"/>
        <w:jc w:val="center"/>
        <w:rPr>
          <w:rStyle w:val="4"/>
          <w:rFonts w:hint="eastAsia" w:ascii="黑体" w:hAnsi="黑体" w:eastAsia="黑体" w:cs="黑体"/>
          <w:b w:val="0"/>
          <w:bCs/>
          <w:sz w:val="44"/>
          <w:szCs w:val="44"/>
          <w:bdr w:val="none" w:color="auto" w:sz="0" w:space="0"/>
          <w:shd w:val="clear" w:fill="FFFFFF"/>
          <w:lang w:eastAsia="zh-CN"/>
        </w:rPr>
      </w:pPr>
      <w:r>
        <w:rPr>
          <w:rStyle w:val="4"/>
          <w:rFonts w:hint="eastAsia" w:ascii="黑体" w:hAnsi="黑体" w:eastAsia="黑体" w:cs="黑体"/>
          <w:b w:val="0"/>
          <w:bCs/>
          <w:sz w:val="44"/>
          <w:szCs w:val="44"/>
          <w:bdr w:val="none" w:color="auto" w:sz="0" w:space="0"/>
          <w:shd w:val="clear" w:fill="FFFFFF"/>
          <w:lang w:eastAsia="zh-CN"/>
        </w:rPr>
        <w:t>石河子大学关于进一步加强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5" w:afterAutospacing="0" w:line="312" w:lineRule="auto"/>
        <w:ind w:left="300" w:right="150" w:firstLine="390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Style w:val="4"/>
          <w:rFonts w:hint="eastAsia" w:ascii="黑体" w:hAnsi="黑体" w:eastAsia="黑体" w:cs="黑体"/>
          <w:b w:val="0"/>
          <w:bCs/>
          <w:sz w:val="44"/>
          <w:szCs w:val="44"/>
          <w:bdr w:val="none" w:color="auto" w:sz="0" w:space="0"/>
          <w:shd w:val="clear" w:fill="FFFFFF"/>
          <w:lang w:eastAsia="zh-CN"/>
        </w:rPr>
        <w:t>课堂教学管理的</w:t>
      </w:r>
      <w:r>
        <w:rPr>
          <w:rStyle w:val="4"/>
          <w:rFonts w:hint="eastAsia" w:ascii="黑体" w:hAnsi="黑体" w:eastAsia="黑体" w:cs="黑体"/>
          <w:b w:val="0"/>
          <w:bCs/>
          <w:sz w:val="44"/>
          <w:szCs w:val="44"/>
          <w:bdr w:val="none" w:color="auto" w:sz="0" w:space="0"/>
          <w:shd w:val="clear" w:fill="FFFFFF"/>
          <w:lang w:eastAsia="zh-CN"/>
        </w:rPr>
        <w:t>指导意见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5" w:afterAutospacing="0" w:line="312" w:lineRule="auto"/>
        <w:ind w:left="300" w:right="150" w:firstLine="390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2" w:lineRule="atLeast"/>
        <w:ind w:left="300" w:right="150" w:firstLine="634"/>
        <w:rPr>
          <w:sz w:val="19"/>
          <w:szCs w:val="19"/>
        </w:rPr>
      </w:pPr>
      <w:r>
        <w:rPr>
          <w:rFonts w:ascii="仿宋_gb2312" w:hAnsi="仿宋_gb2312" w:eastAsia="仿宋_gb2312" w:cs="仿宋_gb2312"/>
          <w:sz w:val="31"/>
          <w:szCs w:val="31"/>
          <w:bdr w:val="none" w:color="auto" w:sz="0" w:space="0"/>
        </w:rPr>
        <w:t>根据《中共教育部党组关于加强高校课堂教学建设 提高教学质量的指导意见》（教党</w:t>
      </w:r>
      <w:r>
        <w:rPr>
          <w:rFonts w:hint="default" w:ascii="仿宋_gb2312" w:hAnsi="仿宋_gb2312" w:eastAsia="仿宋_gb2312" w:cs="仿宋_gb2312"/>
          <w:sz w:val="31"/>
          <w:szCs w:val="31"/>
          <w:bdr w:val="none" w:color="auto" w:sz="0" w:space="0"/>
        </w:rPr>
        <w:t>2017〔51〕号）文件精神，为进一步加强课堂教学管理，健全课堂教学管理体系，强化课堂教学纪律，推进课堂教学建设与改革，营造良好的教学与学习氛围，维护正常教学秩序，保障教育教学质量稳步提高，特制定本指导意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2" w:lineRule="atLeast"/>
        <w:ind w:left="300" w:right="150" w:firstLine="634"/>
        <w:rPr>
          <w:sz w:val="19"/>
          <w:szCs w:val="19"/>
        </w:rPr>
      </w:pPr>
      <w:r>
        <w:rPr>
          <w:rFonts w:hint="default" w:ascii="仿宋_gb2312" w:hAnsi="仿宋_gb2312" w:eastAsia="仿宋_gb2312" w:cs="仿宋_gb2312"/>
          <w:sz w:val="31"/>
          <w:szCs w:val="31"/>
          <w:bdr w:val="none" w:color="auto" w:sz="0" w:space="0"/>
          <w:lang w:eastAsia="zh-CN"/>
        </w:rPr>
        <w:t>第一条  全面贯彻党的教育方针，把坚持正确的政治方向作为课堂教学的根本要求，落实课堂教学教师主体责任，坚持“一岗双责”，坚持课堂讲授有纪律，公开言论守规矩，做到严谨治学、为人师表、教书育人。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2" w:lineRule="atLeast"/>
        <w:ind w:left="300" w:right="150" w:firstLine="634"/>
        <w:rPr>
          <w:sz w:val="19"/>
          <w:szCs w:val="19"/>
        </w:rPr>
      </w:pPr>
      <w:r>
        <w:rPr>
          <w:rFonts w:hint="default" w:ascii="仿宋_gb2312" w:hAnsi="仿宋_gb2312" w:eastAsia="仿宋_gb2312" w:cs="仿宋_gb2312"/>
          <w:sz w:val="31"/>
          <w:szCs w:val="31"/>
          <w:bdr w:val="none" w:color="auto" w:sz="0" w:space="0"/>
          <w:lang w:eastAsia="zh-CN"/>
        </w:rPr>
        <w:t>第二条  树立以学生为中心的教育理念，因材施教，充分发挥学生在学习过程中的主体作用。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2" w:lineRule="atLeast"/>
        <w:ind w:left="300" w:right="150" w:firstLine="634"/>
        <w:rPr>
          <w:sz w:val="19"/>
          <w:szCs w:val="19"/>
        </w:rPr>
      </w:pPr>
      <w:r>
        <w:rPr>
          <w:rFonts w:hint="default" w:ascii="仿宋_gb2312" w:hAnsi="仿宋_gb2312" w:eastAsia="仿宋_gb2312" w:cs="仿宋_gb2312"/>
          <w:sz w:val="31"/>
          <w:szCs w:val="31"/>
          <w:bdr w:val="none" w:color="auto" w:sz="0" w:space="0"/>
          <w:lang w:eastAsia="zh-CN"/>
        </w:rPr>
        <w:t>第三条  严格授课教师资格认定，确保上讲台的教师政治素质过硬、教风优良，能以良好的思想和道德风范去影响和培养学生。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2" w:lineRule="atLeast"/>
        <w:ind w:left="300" w:right="150" w:firstLine="634"/>
        <w:rPr>
          <w:sz w:val="19"/>
          <w:szCs w:val="19"/>
        </w:rPr>
      </w:pPr>
      <w:r>
        <w:rPr>
          <w:rFonts w:hint="default" w:ascii="仿宋_gb2312" w:hAnsi="仿宋_gb2312" w:eastAsia="仿宋_gb2312" w:cs="仿宋_gb2312"/>
          <w:sz w:val="31"/>
          <w:szCs w:val="31"/>
          <w:bdr w:val="none" w:color="auto" w:sz="0" w:space="0"/>
          <w:lang w:eastAsia="zh-CN"/>
        </w:rPr>
        <w:t>第四条  落实《石河子大学教师教学工作制度》，严格遵守课堂教学规范，按时上、下课，不得随意调停课或擅自请他人代课，不得随意变更教学计划。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2" w:lineRule="atLeast"/>
        <w:ind w:left="300" w:right="150" w:firstLine="634"/>
        <w:rPr>
          <w:sz w:val="19"/>
          <w:szCs w:val="19"/>
        </w:rPr>
      </w:pPr>
      <w:r>
        <w:rPr>
          <w:rFonts w:hint="default" w:ascii="仿宋_gb2312" w:hAnsi="仿宋_gb2312" w:eastAsia="仿宋_gb2312" w:cs="仿宋_gb2312"/>
          <w:sz w:val="31"/>
          <w:szCs w:val="31"/>
          <w:bdr w:val="none" w:color="auto" w:sz="0" w:space="0"/>
        </w:rPr>
        <w:t>第五条  依据课程教学大纲编写教案，按照教案实施课堂教学。确保课程教学大纲、教学日历、教案、讲稿（课件）、教材（参考书）和成绩记分册等基本教学文件齐全、规范，并在开课前将教学大纲（包括考试要求、成绩构成）、教学日历上传至“石河子大学在线教育平台”。初次上课或开设新课教师必须撰写出完整的主讲课程讲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2" w:lineRule="atLeast"/>
        <w:ind w:left="300" w:right="150" w:firstLine="634"/>
        <w:rPr>
          <w:sz w:val="19"/>
          <w:szCs w:val="19"/>
        </w:rPr>
      </w:pPr>
      <w:r>
        <w:rPr>
          <w:rFonts w:hint="default" w:ascii="仿宋_gb2312" w:hAnsi="仿宋_gb2312" w:eastAsia="仿宋_gb2312" w:cs="仿宋_gb2312"/>
          <w:sz w:val="31"/>
          <w:szCs w:val="31"/>
          <w:bdr w:val="none" w:color="auto" w:sz="0" w:space="0"/>
          <w:lang w:eastAsia="zh-CN"/>
        </w:rPr>
        <w:t>第六条  教师应把握学科的最新发展，及时更新教学内容，认真备课，精心设计教学环节，切忌照本宣科，并注重课后教学反思。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2" w:lineRule="atLeast"/>
        <w:ind w:left="300" w:right="150" w:firstLine="634"/>
        <w:rPr>
          <w:sz w:val="19"/>
          <w:szCs w:val="19"/>
        </w:rPr>
      </w:pPr>
      <w:r>
        <w:rPr>
          <w:rFonts w:hint="default" w:ascii="仿宋_gb2312" w:hAnsi="仿宋_gb2312" w:eastAsia="仿宋_gb2312" w:cs="仿宋_gb2312"/>
          <w:sz w:val="31"/>
          <w:szCs w:val="31"/>
          <w:bdr w:val="none" w:color="auto" w:sz="0" w:space="0"/>
        </w:rPr>
        <w:t>第七条  不断创新教学模式，科学运用教学方法。积极开展课堂教学内容、方法和手段的改革。推进信息技术与课堂教学深度融合，注重课内与课外相结合，课堂与网络互补充。加强互动，提升学生课堂参与度。鼓励开展小班研讨课，将教学改革和科研成果应用于课堂教学中，增强课堂教学效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2" w:lineRule="atLeast"/>
        <w:ind w:left="300" w:right="150" w:firstLine="634"/>
        <w:rPr>
          <w:sz w:val="19"/>
          <w:szCs w:val="19"/>
        </w:rPr>
      </w:pPr>
      <w:r>
        <w:rPr>
          <w:rFonts w:hint="default" w:ascii="仿宋_gb2312" w:hAnsi="仿宋_gb2312" w:eastAsia="仿宋_gb2312" w:cs="仿宋_gb2312"/>
          <w:sz w:val="31"/>
          <w:szCs w:val="31"/>
          <w:bdr w:val="none" w:color="auto" w:sz="0" w:space="0"/>
        </w:rPr>
        <w:t>第八条  改进完善考核方式，强化教学过程管理。注重对学生学习过程的考核，提高平时成绩在总评成绩中的构成比例（30%～60%），平时成绩由提问、讨论、作业、实验、小测验、考勤和期中考试等组成。课程成绩评定方案应在第一次授课中告知学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2" w:lineRule="atLeast"/>
        <w:ind w:left="300" w:right="150" w:firstLine="634"/>
        <w:rPr>
          <w:sz w:val="19"/>
          <w:szCs w:val="19"/>
        </w:rPr>
      </w:pPr>
      <w:r>
        <w:rPr>
          <w:rFonts w:hint="default" w:ascii="仿宋_gb2312" w:hAnsi="仿宋_gb2312" w:eastAsia="仿宋_gb2312" w:cs="仿宋_gb2312"/>
          <w:sz w:val="31"/>
          <w:szCs w:val="31"/>
          <w:bdr w:val="none" w:color="auto" w:sz="0" w:space="0"/>
        </w:rPr>
        <w:t>第九条  加强教研室、课程组等基层教学组织建设。落实青年教师导师制，健全老中青教师传帮带机制，并建立指导培养档案。定期组织集体备课等教研活动，通过说课、评课，组织教学竞赛、教学观摩，举办课堂建设研讨会、教学沙龙或相关教学活动等多种方式，指导、帮助青年教师改进教学方法，提升教学能力。组织公开课和精品示范课，发挥优质课程的引领作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2" w:lineRule="atLeast"/>
        <w:ind w:left="300" w:right="150" w:firstLine="634"/>
        <w:rPr>
          <w:sz w:val="19"/>
          <w:szCs w:val="19"/>
        </w:rPr>
      </w:pPr>
      <w:r>
        <w:rPr>
          <w:rFonts w:hint="default" w:ascii="仿宋_gb2312" w:hAnsi="仿宋_gb2312" w:eastAsia="仿宋_gb2312" w:cs="仿宋_gb2312"/>
          <w:sz w:val="31"/>
          <w:szCs w:val="31"/>
          <w:bdr w:val="none" w:color="auto" w:sz="0" w:space="0"/>
          <w:lang w:eastAsia="zh-CN"/>
        </w:rPr>
        <w:t>第十条  推进校院两级管理，坚持教授为本科生授课和干部听课制度，加强对各教学环节的日常管理，并纳入专业建设和学院、教师教学工作考核体系。完善同行评价体系，建立科学合理的课堂教学评价、反馈、改进机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2" w:lineRule="atLeast"/>
        <w:ind w:left="300" w:right="150" w:firstLine="634"/>
        <w:rPr>
          <w:sz w:val="19"/>
          <w:szCs w:val="19"/>
        </w:rPr>
      </w:pPr>
      <w:r>
        <w:rPr>
          <w:rFonts w:hint="default" w:ascii="仿宋_gb2312" w:hAnsi="仿宋_gb2312" w:eastAsia="仿宋_gb2312" w:cs="仿宋_gb2312"/>
          <w:sz w:val="31"/>
          <w:szCs w:val="31"/>
          <w:bdr w:val="none" w:color="auto" w:sz="0" w:space="0"/>
          <w:lang w:eastAsia="zh-CN"/>
        </w:rPr>
        <w:t>第十一条  教师、教学管理人员如出现教学事故，按照《石河子大学教学事故认定与处理办法》追究相应责任。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2" w:lineRule="atLeast"/>
        <w:ind w:left="300" w:right="150" w:firstLine="634"/>
        <w:rPr>
          <w:sz w:val="19"/>
          <w:szCs w:val="19"/>
        </w:rPr>
      </w:pPr>
      <w:r>
        <w:rPr>
          <w:rFonts w:hint="default" w:ascii="仿宋_gb2312" w:hAnsi="仿宋_gb2312" w:eastAsia="仿宋_gb2312" w:cs="仿宋_gb2312"/>
          <w:sz w:val="31"/>
          <w:szCs w:val="31"/>
          <w:bdr w:val="none" w:color="auto" w:sz="0" w:space="0"/>
          <w:lang w:eastAsia="zh-CN"/>
        </w:rPr>
        <w:t>第十二条  本规定适用于全校理论课程及实验、实训等课堂教学。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2" w:lineRule="atLeast"/>
        <w:ind w:left="300" w:right="150" w:firstLine="634"/>
        <w:rPr>
          <w:sz w:val="19"/>
          <w:szCs w:val="19"/>
        </w:rPr>
      </w:pPr>
      <w:r>
        <w:rPr>
          <w:rFonts w:hint="default" w:ascii="仿宋_gb2312" w:hAnsi="仿宋_gb2312" w:eastAsia="仿宋_gb2312" w:cs="仿宋_gb2312"/>
          <w:sz w:val="31"/>
          <w:szCs w:val="31"/>
          <w:bdr w:val="none" w:color="auto" w:sz="0" w:space="0"/>
          <w:lang w:eastAsia="zh-CN"/>
        </w:rPr>
        <w:t>第十三条  本规定自公布之日起执行，由教务处负责解释。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774DA"/>
    <w:rsid w:val="5657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Strong"/>
    <w:basedOn w:val="3"/>
    <w:qFormat/>
    <w:uiPriority w:val="0"/>
    <w:rPr>
      <w:b/>
      <w:bdr w:val="none" w:color="auto" w:sz="0" w:space="0"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  <w:rPr>
      <w:i/>
      <w:bdr w:val="none" w:color="auto" w:sz="0" w:space="0"/>
    </w:rPr>
  </w:style>
  <w:style w:type="character" w:styleId="7">
    <w:name w:val="Hyperlink"/>
    <w:basedOn w:val="3"/>
    <w:uiPriority w:val="0"/>
    <w:rPr>
      <w:color w:val="000000"/>
      <w:u w:val="none"/>
    </w:rPr>
  </w:style>
  <w:style w:type="character" w:styleId="8">
    <w:name w:val="HTML Cite"/>
    <w:basedOn w:val="3"/>
    <w:uiPriority w:val="0"/>
    <w:rPr>
      <w:i/>
      <w:bdr w:val="none" w:color="auto" w:sz="0" w:space="0"/>
    </w:rPr>
  </w:style>
  <w:style w:type="character" w:customStyle="1" w:styleId="10">
    <w:name w:val="linknote"/>
    <w:basedOn w:val="3"/>
    <w:uiPriority w:val="0"/>
    <w:rPr>
      <w:vanish/>
      <w:color w:val="CCCCCC"/>
      <w:bdr w:val="none" w:color="auto" w:sz="0" w:space="0"/>
    </w:rPr>
  </w:style>
  <w:style w:type="character" w:customStyle="1" w:styleId="11">
    <w:name w:val="engineeright"/>
    <w:basedOn w:val="3"/>
    <w:uiPriority w:val="0"/>
  </w:style>
  <w:style w:type="character" w:customStyle="1" w:styleId="12">
    <w:name w:val="item-name"/>
    <w:basedOn w:val="3"/>
    <w:uiPriority w:val="0"/>
    <w:rPr>
      <w:bdr w:val="none" w:color="auto" w:sz="0" w:space="0"/>
    </w:rPr>
  </w:style>
  <w:style w:type="character" w:customStyle="1" w:styleId="13">
    <w:name w:val="item-name1"/>
    <w:basedOn w:val="3"/>
    <w:uiPriority w:val="0"/>
    <w:rPr>
      <w:bdr w:val="none" w:color="auto" w:sz="0" w:space="0"/>
    </w:rPr>
  </w:style>
  <w:style w:type="character" w:customStyle="1" w:styleId="14">
    <w:name w:val="new"/>
    <w:basedOn w:val="3"/>
    <w:uiPriority w:val="0"/>
    <w:rPr>
      <w:color w:val="FF0000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2018-05-09T10:28:00Z</dcterms:created>
  <dc:creator>LPY</dc:creator>
  <cp:lastModifiedBy>LPY</cp:lastModifiedBy>
  <dcterms:modified xsi:type="dcterms:W3CDTF">2018-05-09T10:30:52Z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