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320" w:beforeLines="100" w:beforeAutospacing="0" w:after="320" w:afterLines="100" w:afterAutospacing="0" w:line="300" w:lineRule="auto"/>
        <w:ind w:left="0" w:leftChars="0" w:right="0" w:rightChars="0"/>
        <w:jc w:val="center"/>
        <w:textAlignment w:val="auto"/>
        <w:outlineLvl w:val="0"/>
        <w:rPr>
          <w:rFonts w:hint="default" w:ascii="Times New Roman" w:hAnsi="Times New Roman" w:cs="Times New Roman"/>
          <w:b w:val="0"/>
          <w:bCs w:val="0"/>
          <w:sz w:val="32"/>
          <w:szCs w:val="32"/>
        </w:rPr>
      </w:pPr>
      <w:bookmarkStart w:id="0" w:name="_Toc16088"/>
      <w:r>
        <w:rPr>
          <w:rFonts w:hint="default" w:ascii="Times New Roman" w:hAnsi="Times New Roman" w:cs="Times New Roman"/>
          <w:b w:val="0"/>
          <w:bCs w:val="0"/>
          <w:sz w:val="32"/>
          <w:szCs w:val="32"/>
        </w:rPr>
        <w:t>临床医学专业（教学改革试点班）本科培养方案</w:t>
      </w:r>
      <w:bookmarkEnd w:id="0"/>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 w:name="_Toc3270"/>
      <w:bookmarkStart w:id="2" w:name="_Toc23506"/>
      <w:r>
        <w:rPr>
          <w:rFonts w:hint="default" w:ascii="Times New Roman" w:hAnsi="Times New Roman" w:cs="Times New Roman"/>
          <w:b/>
          <w:bCs/>
          <w:sz w:val="24"/>
        </w:rPr>
        <w:t>一、专业代码及专业名称</w:t>
      </w:r>
      <w:bookmarkEnd w:id="1"/>
      <w:bookmarkEnd w:id="2"/>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专业代码：100201K</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专业名称：临床医学（Clinical Medicine）</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3" w:name="_Toc16284"/>
      <w:bookmarkStart w:id="4" w:name="_Toc20819"/>
      <w:r>
        <w:rPr>
          <w:rFonts w:hint="default" w:ascii="Times New Roman" w:hAnsi="Times New Roman" w:cs="Times New Roman"/>
          <w:b/>
          <w:bCs/>
          <w:sz w:val="24"/>
        </w:rPr>
        <w:t>二、培养目标及毕业要求</w:t>
      </w:r>
      <w:bookmarkEnd w:id="3"/>
      <w:bookmarkEnd w:id="4"/>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5" w:name="_Toc31347"/>
      <w:bookmarkStart w:id="6" w:name="_Toc18089"/>
      <w:r>
        <w:rPr>
          <w:rFonts w:hint="default" w:ascii="Times New Roman" w:hAnsi="Times New Roman" w:cs="Times New Roman"/>
          <w:b/>
          <w:bCs/>
          <w:szCs w:val="21"/>
        </w:rPr>
        <w:t>（一）培养目标</w:t>
      </w:r>
      <w:bookmarkEnd w:id="5"/>
      <w:bookmarkEnd w:id="6"/>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rPr>
      </w:pPr>
      <w:r>
        <w:rPr>
          <w:rFonts w:hint="default" w:ascii="Times New Roman" w:hAnsi="Times New Roman" w:cs="Times New Roman"/>
        </w:rPr>
        <w:t>本专业</w:t>
      </w:r>
      <w:r>
        <w:rPr>
          <w:rFonts w:hint="default" w:ascii="Times New Roman" w:hAnsi="Times New Roman" w:cs="Times New Roman"/>
          <w:szCs w:val="21"/>
        </w:rPr>
        <w:t>立足兵团、服务新疆、面向全国，服务于区域医疗卫生事业发展，培养政治立场坚定，适应我国社会主义现代化建设，德智体美劳全面发展，具有良好职业素养，扎实的医学基础与临床基本理论、基本知识和基本技能；具备扎实的临床能力、终身学习能力，创新精神、研究能力、卓越发展潜质，能够在医疗卫生等相关领域从事临床医疗和卫生服务的高素质应用型临床医学专门人才。</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本专业毕业生在毕业后</w:t>
      </w:r>
      <w:r>
        <w:rPr>
          <w:rFonts w:hint="default" w:ascii="Times New Roman" w:hAnsi="Times New Roman" w:cs="Times New Roman"/>
          <w:kern w:val="0"/>
          <w:szCs w:val="21"/>
        </w:rPr>
        <w:t>五年</w:t>
      </w:r>
      <w:r>
        <w:rPr>
          <w:rFonts w:hint="default" w:ascii="Times New Roman" w:hAnsi="Times New Roman" w:cs="Times New Roman"/>
          <w:szCs w:val="21"/>
        </w:rPr>
        <w:t>应达到以下目标：</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培养目标1：始终保持具备良好的思想品德和医德修养，有敬业精神和社会责任感，遵守医疗行业的法律法规和职业道德，为所有患者提供人道主义医疗服务。</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培养目标2：具有临床医疗和科学研究的能力，具备扎实的临床医学理论、知识、技能，及良好的临床思维能力、沟通能力，促进人群健康，善于使用科学知识和方法分析和解决临床中的实际问题。</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培养目标3：有不断吸收新知识和新技术的意识和能力，能够在日新月异的医学进步环境中保持医学业务水平的持续更新。</w:t>
      </w:r>
    </w:p>
    <w:p>
      <w:pPr>
        <w:pageBreakBefore w:val="0"/>
        <w:kinsoku/>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outlineLvl w:val="2"/>
        <w:rPr>
          <w:rFonts w:hint="default" w:ascii="Times New Roman" w:hAnsi="Times New Roman" w:cs="Times New Roman"/>
          <w:b/>
          <w:bCs/>
          <w:szCs w:val="21"/>
        </w:rPr>
      </w:pPr>
      <w:bookmarkStart w:id="7" w:name="_Toc21850"/>
      <w:bookmarkStart w:id="8" w:name="_Toc23554"/>
      <w:r>
        <w:rPr>
          <w:rFonts w:hint="default" w:ascii="Times New Roman" w:hAnsi="Times New Roman" w:cs="Times New Roman"/>
          <w:b/>
          <w:bCs/>
          <w:szCs w:val="21"/>
        </w:rPr>
        <w:t>（二）毕业要求</w:t>
      </w:r>
      <w:bookmarkEnd w:id="7"/>
      <w:bookmarkEnd w:id="8"/>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本专业学生主要学习自然科学、基础医学和临床医学方面的基本知识与基本理论，接受临床技能、沟通技巧等方面的基本训练，掌握初步的医疗、健康宣教、自主学习和终身学习的能力。毕业生应获得以下的素质、知识和能力：</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1.职业素养</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具有良好的医学人文素养，热爱医学、关爱病人，掌握医学相关法律、伦理道德等相关学科基本理论和基本知识，遵纪守法、恪守医德，具备树立终身学习观念。</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b w:val="0"/>
          <w:bCs w:val="0"/>
          <w:szCs w:val="21"/>
        </w:rPr>
        <w:t>1.1树立科学的世界观、人生观和价值观，具有爱国主义和集体主义精神，愿为医学科学事业发展贡献力量。具备良好的思想品德和医德修养，珍视生命，关爱病人，能够根据《中国医师道德准则》为所有患者</w:t>
      </w:r>
      <w:r>
        <w:rPr>
          <w:rFonts w:hint="default" w:ascii="Times New Roman" w:hAnsi="Times New Roman" w:cs="Times New Roman"/>
          <w:bCs/>
          <w:szCs w:val="21"/>
        </w:rPr>
        <w:t>提供人道主义的医疗服务。</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szCs w:val="21"/>
        </w:rPr>
        <w:t>1.2</w:t>
      </w:r>
      <w:r>
        <w:rPr>
          <w:rFonts w:hint="default" w:ascii="Times New Roman" w:hAnsi="Times New Roman" w:cs="Times New Roman"/>
          <w:bCs/>
          <w:szCs w:val="21"/>
        </w:rPr>
        <w:t>了解并遵守医疗行业的基本法律法规和职业道德，</w:t>
      </w:r>
      <w:r>
        <w:rPr>
          <w:rFonts w:hint="default" w:ascii="Times New Roman" w:hAnsi="Times New Roman" w:cs="Times New Roman"/>
          <w:kern w:val="0"/>
          <w:szCs w:val="21"/>
        </w:rPr>
        <w:t>用法律保护病人和自身的权益。</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kern w:val="0"/>
          <w:szCs w:val="21"/>
        </w:rPr>
      </w:pPr>
      <w:r>
        <w:rPr>
          <w:rFonts w:hint="default" w:ascii="Times New Roman" w:hAnsi="Times New Roman" w:cs="Times New Roman"/>
          <w:szCs w:val="21"/>
        </w:rPr>
        <w:t>1.3</w:t>
      </w:r>
      <w:r>
        <w:rPr>
          <w:rFonts w:hint="default" w:ascii="Times New Roman" w:hAnsi="Times New Roman" w:cs="Times New Roman"/>
          <w:kern w:val="0"/>
          <w:szCs w:val="21"/>
        </w:rPr>
        <w:t>掌握医疗卫生领域职业精神的内涵</w:t>
      </w:r>
      <w:r>
        <w:rPr>
          <w:rFonts w:hint="default" w:ascii="Times New Roman" w:hAnsi="Times New Roman" w:cs="Times New Roman"/>
          <w:szCs w:val="21"/>
        </w:rPr>
        <w:t>，明确自己的业务能力与权限，</w:t>
      </w:r>
      <w:r>
        <w:rPr>
          <w:rFonts w:hint="default" w:ascii="Times New Roman" w:hAnsi="Times New Roman" w:cs="Times New Roman"/>
          <w:kern w:val="0"/>
          <w:szCs w:val="21"/>
        </w:rPr>
        <w:t>尊重其他卫生从业人员，相互合作和学习。</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kern w:val="0"/>
          <w:szCs w:val="21"/>
        </w:rPr>
        <w:t>1.4</w:t>
      </w:r>
      <w:r>
        <w:rPr>
          <w:rFonts w:hint="default" w:ascii="Times New Roman" w:hAnsi="Times New Roman" w:cs="Times New Roman"/>
          <w:bCs/>
          <w:szCs w:val="21"/>
        </w:rPr>
        <w:t>掌握医学伦理学知识，并将其应用于医疗服务中。</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Cs/>
          <w:szCs w:val="21"/>
        </w:rPr>
      </w:pPr>
      <w:r>
        <w:rPr>
          <w:rFonts w:hint="default" w:ascii="Times New Roman" w:hAnsi="Times New Roman" w:cs="Times New Roman"/>
          <w:szCs w:val="21"/>
        </w:rPr>
        <w:t>1.5树立终身学习观念，</w:t>
      </w:r>
      <w:r>
        <w:rPr>
          <w:rFonts w:hint="default" w:ascii="Times New Roman" w:hAnsi="Times New Roman" w:cs="Times New Roman"/>
          <w:bCs/>
          <w:szCs w:val="21"/>
        </w:rPr>
        <w:t>认识到持续自我完善的重要性，不断追求卓越。</w:t>
      </w:r>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2.科学和学术素养</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kern w:val="2"/>
          <w:szCs w:val="21"/>
        </w:rPr>
      </w:pPr>
      <w:bookmarkStart w:id="9" w:name="_Toc8"/>
      <w:bookmarkStart w:id="10" w:name="_Toc10303"/>
      <w:bookmarkStart w:id="11" w:name="_Toc20179"/>
      <w:r>
        <w:rPr>
          <w:rFonts w:hint="default" w:ascii="Times New Roman" w:hAnsi="Times New Roman" w:cs="Times New Roman"/>
          <w:b w:val="0"/>
          <w:bCs w:val="0"/>
          <w:color w:val="auto"/>
          <w:kern w:val="2"/>
          <w:szCs w:val="21"/>
        </w:rPr>
        <w:t>具有一定的科学素养，掌握医学及相关学科的基础知识，能够应用科学思维方法，分析和解决临床工作中的问题。</w:t>
      </w:r>
      <w:bookmarkEnd w:id="9"/>
      <w:bookmarkEnd w:id="10"/>
      <w:bookmarkEnd w:id="11"/>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2.1具备自然科学、人文社会科学与行为科学、生物医学、公共卫生、临床医学等学科的基础知识，掌握科学方法，并能用于指导未来的学习和医学实践。</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2.2能够描述生命各阶段疾病的病因、发病机制、自然病程、临床表现、诊断、治疗以及预后。</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2.3能够应用医学等科学知识处理个体、群体和卫生系统中的问题。</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2.4掌握中医学的基本特点和诊疗基本原则。</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2.5能够获取、甄别、理解并应用医学等科学文献中的证据。</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2"/>
        <w:jc w:val="both"/>
        <w:rPr>
          <w:rFonts w:hint="default" w:ascii="Times New Roman" w:hAnsi="Times New Roman" w:cs="Times New Roman"/>
          <w:b w:val="0"/>
          <w:bCs w:val="0"/>
          <w:color w:val="auto"/>
        </w:rPr>
      </w:pPr>
      <w:bookmarkStart w:id="12" w:name="_Toc25120"/>
      <w:bookmarkStart w:id="13" w:name="_Toc4462"/>
      <w:bookmarkStart w:id="14" w:name="_Toc4535"/>
      <w:r>
        <w:rPr>
          <w:rFonts w:hint="default" w:ascii="Times New Roman" w:hAnsi="Times New Roman" w:cs="Times New Roman"/>
          <w:b w:val="0"/>
          <w:bCs w:val="0"/>
          <w:color w:val="auto"/>
        </w:rPr>
        <w:t>3.临床能力</w:t>
      </w:r>
      <w:bookmarkEnd w:id="12"/>
      <w:bookmarkEnd w:id="13"/>
      <w:bookmarkEnd w:id="14"/>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具有初步的临床诊疗能力，掌握临床医学学科的基本知识和基本技能，具备一定的临床思维能力、医患沟通能力、信息技术能力，能够应用所学的知识和技能，运用到临床实践中。</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3.1能够系统、正确地采集病史，规范地进行体格检查、书写病历；依据病史和体格检查中的发现，形成初步判断，并进行鉴别诊断，提出合理的治疗原则；能够选择并安全地实施各种常见的临床基本操作。</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3.2能够根据患者的病情、安全和成本效益等因素，选择适宜的临床检查方法并能说明其合理性，做出判断和解释；在上级医生指导下确定进一步的诊疗方案并说明其合理性。</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3.3掌握一定评估和急救技能，能够准确评价病情程度及变化，对需要紧急处理的患者进行急救处理。</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3.4能够以不同的角色进行有效沟通，能够了解患者问题、意见、关注点和偏好，使患者及家属充分理解病情；能够及时向患者和家属、监护人提供相关信息，在他们充分知情的前提下，努力同患者及其家属共同制定诊疗计划。</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3.5能够将疾病预防、早期发现、卫生保健和慢性疾病管理等知识和理念结合到临床实践中；能够掌握临终患者的治疗原则，用对症、心理支持等方法提高舒适度，并使患者获得应有的尊严。</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szCs w:val="21"/>
        </w:rPr>
      </w:pPr>
      <w:r>
        <w:rPr>
          <w:rFonts w:hint="default" w:ascii="Times New Roman" w:hAnsi="Times New Roman" w:cs="Times New Roman"/>
          <w:b w:val="0"/>
          <w:bCs w:val="0"/>
          <w:szCs w:val="21"/>
        </w:rPr>
        <w:t>3.6能够在临床数据系统中有效地检索、解读和记录信息。</w:t>
      </w:r>
    </w:p>
    <w:p>
      <w:pPr>
        <w:pageBreakBefore w:val="0"/>
        <w:widowControl/>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b w:val="0"/>
          <w:bCs w:val="0"/>
          <w:kern w:val="0"/>
        </w:rPr>
      </w:pPr>
      <w:r>
        <w:rPr>
          <w:rFonts w:hint="default" w:ascii="Times New Roman" w:hAnsi="Times New Roman" w:cs="Times New Roman"/>
          <w:b w:val="0"/>
          <w:bCs w:val="0"/>
          <w:kern w:val="0"/>
        </w:rPr>
        <w:t>4.健康和社会</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具有促进群体健康的责任意识；掌握健康监测、评估的基本知识和基本技能，了解医疗卫生体系，能够关注并促进人群健康。</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4.1具有保护并促进个体和人群健康的责任意识。</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4.2了解影响人群健康、疾病和有效治疗的因素，包括文化、精神和社会价值观的多样化，以及社会经济、心理状态和自然环境因素。</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4.3能够解释和评估人群的健康检查和预防措施，包括人群健康状况的监测、患者随访、用药、康复治疗等方面的指导等。</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4.4了解医疗卫生系统的结构和功能，及医院医疗质量保障和医疗安全管理体系。</w:t>
      </w:r>
    </w:p>
    <w:p>
      <w:pPr>
        <w:pStyle w:val="2"/>
        <w:pageBreakBefore w:val="0"/>
        <w:kinsoku/>
        <w:overflowPunct/>
        <w:topLinePunct w:val="0"/>
        <w:bidi w:val="0"/>
        <w:snapToGrid w:val="0"/>
        <w:spacing w:before="81" w:beforeLines="25" w:beforeAutospacing="0" w:after="81" w:afterLines="25" w:afterAutospacing="0" w:line="300" w:lineRule="auto"/>
        <w:ind w:left="0" w:leftChars="0" w:right="0" w:rightChars="0" w:firstLine="420"/>
        <w:jc w:val="both"/>
        <w:rPr>
          <w:rFonts w:hint="default" w:ascii="Times New Roman" w:hAnsi="Times New Roman" w:cs="Times New Roman"/>
          <w:b w:val="0"/>
          <w:bCs w:val="0"/>
          <w:color w:val="auto"/>
          <w:szCs w:val="21"/>
        </w:rPr>
      </w:pPr>
      <w:bookmarkStart w:id="15" w:name="_Toc9636"/>
      <w:bookmarkStart w:id="16" w:name="_Toc1064"/>
      <w:bookmarkStart w:id="17" w:name="_Toc19001"/>
      <w:r>
        <w:rPr>
          <w:rFonts w:hint="default" w:ascii="Times New Roman" w:hAnsi="Times New Roman" w:cs="Times New Roman"/>
          <w:b w:val="0"/>
          <w:bCs w:val="0"/>
          <w:color w:val="auto"/>
          <w:szCs w:val="21"/>
        </w:rPr>
        <w:t>4.5了解全球健康问题以及健康和疾病的决定因素。</w:t>
      </w:r>
      <w:bookmarkEnd w:id="15"/>
      <w:bookmarkEnd w:id="16"/>
      <w:bookmarkEnd w:id="17"/>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18" w:name="_Toc30207"/>
      <w:bookmarkStart w:id="19" w:name="_Toc13572"/>
      <w:r>
        <w:rPr>
          <w:rFonts w:hint="default" w:ascii="Times New Roman" w:hAnsi="Times New Roman" w:cs="Times New Roman"/>
          <w:b/>
          <w:bCs/>
          <w:sz w:val="24"/>
        </w:rPr>
        <w:t>三、毕业学分要求</w:t>
      </w:r>
      <w:bookmarkEnd w:id="18"/>
      <w:bookmarkEnd w:id="19"/>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临床医学专业毕业生至少修满246.5学分，其中必修229.5学分，选修17学分。</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0" w:name="_Toc29505"/>
      <w:bookmarkStart w:id="21" w:name="_Toc7823"/>
      <w:r>
        <w:rPr>
          <w:rFonts w:hint="default" w:ascii="Times New Roman" w:hAnsi="Times New Roman" w:cs="Times New Roman"/>
          <w:b/>
          <w:bCs/>
          <w:sz w:val="24"/>
        </w:rPr>
        <w:t>四、学制与学位</w:t>
      </w:r>
      <w:bookmarkEnd w:id="20"/>
      <w:bookmarkEnd w:id="21"/>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标准学制：五年</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授予学位：医学学士</w:t>
      </w: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22" w:name="_Toc26583"/>
      <w:bookmarkStart w:id="23" w:name="_Toc19823"/>
      <w:r>
        <w:rPr>
          <w:rFonts w:hint="default" w:ascii="Times New Roman" w:hAnsi="Times New Roman" w:cs="Times New Roman"/>
          <w:b/>
          <w:bCs/>
          <w:sz w:val="24"/>
          <w:lang w:val="en-US" w:eastAsia="zh-CN"/>
        </w:rPr>
        <w:t>五</w:t>
      </w:r>
      <w:r>
        <w:rPr>
          <w:rFonts w:hint="default" w:ascii="Times New Roman" w:hAnsi="Times New Roman" w:cs="Times New Roman"/>
          <w:b/>
          <w:bCs/>
          <w:sz w:val="24"/>
        </w:rPr>
        <w:t>、专业课程设置及教学计划表</w:t>
      </w:r>
      <w:bookmarkEnd w:id="22"/>
      <w:bookmarkEnd w:id="23"/>
      <w:r>
        <w:rPr>
          <w:rFonts w:hint="default" w:ascii="Times New Roman" w:hAnsi="Times New Roman" w:cs="Times New Roman"/>
          <w:b/>
          <w:bCs/>
          <w:sz w:val="24"/>
        </w:rPr>
        <w:t xml:space="preserve"> </w:t>
      </w:r>
    </w:p>
    <w:p>
      <w:pPr>
        <w:keepNext w:val="0"/>
        <w:keepLines w:val="0"/>
        <w:pageBreakBefore w:val="0"/>
        <w:widowControl w:val="0"/>
        <w:tabs>
          <w:tab w:val="center" w:pos="4252"/>
        </w:tabs>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24" w:name="_Toc6645"/>
      <w:bookmarkStart w:id="25" w:name="_Toc12087"/>
      <w:r>
        <w:rPr>
          <w:rFonts w:hint="default" w:ascii="Times New Roman" w:hAnsi="Times New Roman" w:cs="Times New Roman"/>
          <w:b/>
          <w:bCs/>
          <w:szCs w:val="21"/>
        </w:rPr>
        <w:t>（一）通识教育（必修49.5学分，选修7学分）</w:t>
      </w:r>
      <w:bookmarkEnd w:id="24"/>
      <w:bookmarkEnd w:id="25"/>
      <w:r>
        <w:rPr>
          <w:rFonts w:hint="default" w:ascii="Times New Roman" w:hAnsi="Times New Roman" w:cs="Times New Roman"/>
          <w:b/>
          <w:bCs/>
          <w:szCs w:val="21"/>
        </w:rPr>
        <w:tab/>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bookmarkStart w:id="26" w:name="OLE_LINK2"/>
      <w:r>
        <w:rPr>
          <w:rFonts w:hint="default" w:ascii="Times New Roman" w:hAnsi="Times New Roman" w:cs="Times New Roman"/>
          <w:szCs w:val="21"/>
        </w:rPr>
        <w:t>修读要求：通识必修课程需修满49.5学分（其中思想政治理论课程修读18学分，大学外语类课程修读9学分，大学计算机类课程修读2学分，高等数学类课程修读3学分，大学物理类课程修读3.5分，大学化学类课程修读5学分，体育素质拓展类课程修读9学分）；通识选修课最低选修7学分（其中美育类课程2学分，人文社会科学类课程5学分）。</w:t>
      </w:r>
    </w:p>
    <w:p>
      <w:pPr>
        <w:pageBreakBefore w:val="0"/>
        <w:kinsoku/>
        <w:wordWrap/>
        <w:overflowPunct/>
        <w:topLinePunct w:val="0"/>
        <w:bidi w:val="0"/>
        <w:adjustRightInd w:val="0"/>
        <w:snapToGrid w:val="0"/>
        <w:spacing w:before="78" w:beforeLines="25" w:after="78" w:afterLines="25" w:line="300" w:lineRule="auto"/>
        <w:ind w:firstLine="420" w:firstLineChars="20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相关说明：</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1.四史课程</w:t>
      </w:r>
      <w:r>
        <w:rPr>
          <w:rFonts w:hint="eastAsia" w:ascii="Times New Roman" w:hAnsi="Times New Roman" w:cs="Times New Roman"/>
          <w:szCs w:val="21"/>
          <w:lang w:eastAsia="zh-CN"/>
        </w:rPr>
        <w:t>由《</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》等</w:t>
      </w:r>
      <w:r>
        <w:rPr>
          <w:rFonts w:hint="default" w:ascii="Times New Roman" w:hAnsi="Times New Roman" w:cs="Times New Roman"/>
          <w:szCs w:val="21"/>
        </w:rPr>
        <w:t>四</w:t>
      </w:r>
      <w:r>
        <w:rPr>
          <w:rFonts w:hint="eastAsia" w:ascii="Times New Roman" w:hAnsi="Times New Roman" w:cs="Times New Roman"/>
          <w:szCs w:val="21"/>
          <w:lang w:eastAsia="zh-CN"/>
        </w:rPr>
        <w:t>门课程</w:t>
      </w:r>
      <w:r>
        <w:rPr>
          <w:rFonts w:hint="default" w:ascii="Times New Roman" w:hAnsi="Times New Roman" w:cs="Times New Roman"/>
          <w:szCs w:val="21"/>
        </w:rPr>
        <w:t>组成</w:t>
      </w:r>
      <w:r>
        <w:rPr>
          <w:rFonts w:hint="eastAsia" w:ascii="Times New Roman" w:hAnsi="Times New Roman" w:cs="Times New Roman"/>
          <w:szCs w:val="21"/>
          <w:lang w:eastAsia="zh-CN"/>
        </w:rPr>
        <w:t>，每门课程</w:t>
      </w:r>
      <w:r>
        <w:rPr>
          <w:rFonts w:hint="default" w:ascii="Times New Roman" w:hAnsi="Times New Roman" w:cs="Times New Roman"/>
          <w:szCs w:val="21"/>
        </w:rPr>
        <w:t>1学分（16学时）</w:t>
      </w:r>
      <w:r>
        <w:rPr>
          <w:rFonts w:hint="eastAsia" w:ascii="Times New Roman" w:hAnsi="Times New Roman" w:cs="Times New Roman"/>
          <w:szCs w:val="21"/>
          <w:lang w:eastAsia="zh-CN"/>
        </w:rPr>
        <w:t>，</w:t>
      </w:r>
      <w:r>
        <w:rPr>
          <w:rFonts w:hint="default" w:ascii="Times New Roman" w:hAnsi="Times New Roman" w:cs="Times New Roman"/>
          <w:szCs w:val="21"/>
        </w:rPr>
        <w:t>学生任选</w:t>
      </w:r>
      <w:r>
        <w:rPr>
          <w:rFonts w:hint="eastAsia" w:ascii="Times New Roman" w:hAnsi="Times New Roman" w:cs="Times New Roman"/>
          <w:szCs w:val="21"/>
          <w:lang w:val="en-US" w:eastAsia="zh-CN"/>
        </w:rPr>
        <w:t>1门课程进行学习</w:t>
      </w:r>
      <w:r>
        <w:rPr>
          <w:rFonts w:hint="default" w:ascii="Times New Roman" w:hAnsi="Times New Roman" w:cs="Times New Roman"/>
          <w:szCs w:val="21"/>
        </w:rPr>
        <w:t>。</w:t>
      </w:r>
      <w:r>
        <w:rPr>
          <w:rFonts w:hint="eastAsia" w:ascii="Times New Roman" w:hAnsi="Times New Roman" w:cs="Times New Roman"/>
          <w:szCs w:val="21"/>
          <w:lang w:eastAsia="zh-CN"/>
        </w:rPr>
        <w:t>《</w:t>
      </w:r>
      <w:r>
        <w:rPr>
          <w:rFonts w:hint="default" w:ascii="Times New Roman" w:hAnsi="Times New Roman" w:cs="Times New Roman"/>
          <w:szCs w:val="21"/>
        </w:rPr>
        <w:t>新中国史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社会主义发展史</w:t>
      </w:r>
      <w:r>
        <w:rPr>
          <w:rFonts w:hint="eastAsia" w:ascii="Times New Roman" w:hAnsi="Times New Roman" w:cs="Times New Roman"/>
          <w:szCs w:val="21"/>
          <w:lang w:eastAsia="zh-CN"/>
        </w:rPr>
        <w:t>》</w:t>
      </w:r>
      <w:r>
        <w:rPr>
          <w:rFonts w:hint="default" w:ascii="Times New Roman" w:hAnsi="Times New Roman" w:cs="Times New Roman"/>
          <w:szCs w:val="21"/>
        </w:rPr>
        <w:t>在第3学期开设，</w:t>
      </w:r>
      <w:r>
        <w:rPr>
          <w:rFonts w:hint="eastAsia" w:ascii="Times New Roman" w:hAnsi="Times New Roman" w:cs="Times New Roman"/>
          <w:szCs w:val="21"/>
          <w:lang w:eastAsia="zh-CN"/>
        </w:rPr>
        <w:t>《</w:t>
      </w:r>
      <w:r>
        <w:rPr>
          <w:rFonts w:hint="default" w:ascii="Times New Roman" w:hAnsi="Times New Roman" w:cs="Times New Roman"/>
          <w:szCs w:val="21"/>
        </w:rPr>
        <w:t>党史</w:t>
      </w:r>
      <w:r>
        <w:rPr>
          <w:rFonts w:hint="eastAsia" w:ascii="Times New Roman" w:hAnsi="Times New Roman" w:cs="Times New Roman"/>
          <w:szCs w:val="21"/>
          <w:lang w:eastAsia="zh-CN"/>
        </w:rPr>
        <w:t>》</w:t>
      </w:r>
      <w:r>
        <w:rPr>
          <w:rFonts w:hint="default" w:ascii="Times New Roman" w:hAnsi="Times New Roman" w:cs="Times New Roman"/>
          <w:szCs w:val="21"/>
        </w:rPr>
        <w:t>和</w:t>
      </w:r>
      <w:r>
        <w:rPr>
          <w:rFonts w:hint="eastAsia" w:ascii="Times New Roman" w:hAnsi="Times New Roman" w:cs="Times New Roman"/>
          <w:szCs w:val="21"/>
          <w:lang w:eastAsia="zh-CN"/>
        </w:rPr>
        <w:t>《</w:t>
      </w:r>
      <w:r>
        <w:rPr>
          <w:rFonts w:hint="default" w:ascii="Times New Roman" w:hAnsi="Times New Roman" w:cs="Times New Roman"/>
          <w:szCs w:val="21"/>
        </w:rPr>
        <w:t>改革开放史</w:t>
      </w:r>
      <w:r>
        <w:rPr>
          <w:rFonts w:hint="eastAsia" w:ascii="Times New Roman" w:hAnsi="Times New Roman" w:cs="Times New Roman"/>
          <w:szCs w:val="21"/>
          <w:lang w:eastAsia="zh-CN"/>
        </w:rPr>
        <w:t>》</w:t>
      </w:r>
      <w:r>
        <w:rPr>
          <w:rFonts w:hint="default" w:ascii="Times New Roman" w:hAnsi="Times New Roman" w:cs="Times New Roman"/>
          <w:szCs w:val="21"/>
        </w:rPr>
        <w:t>在第4学期开设。</w:t>
      </w:r>
    </w:p>
    <w:p>
      <w:pPr>
        <w:pageBreakBefore w:val="0"/>
        <w:kinsoku/>
        <w:overflowPunct/>
        <w:topLinePunct w:val="0"/>
        <w:bidi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lang w:eastAsia="zh-CN"/>
        </w:rPr>
        <w:t>2.体育类课程：大学体育系列课程由四门课程组成</w:t>
      </w:r>
      <w:r>
        <w:rPr>
          <w:rFonts w:hint="eastAsia" w:ascii="Times New Roman" w:hAnsi="Times New Roman" w:cs="Times New Roman"/>
          <w:szCs w:val="21"/>
          <w:lang w:eastAsia="zh-CN"/>
        </w:rPr>
        <w:t>，</w:t>
      </w:r>
      <w:r>
        <w:rPr>
          <w:rFonts w:hint="default" w:ascii="Times New Roman" w:hAnsi="Times New Roman" w:cs="Times New Roman"/>
          <w:szCs w:val="21"/>
          <w:lang w:eastAsia="zh-CN"/>
        </w:rPr>
        <w:t>每门课程1学分（32学时）；体能</w:t>
      </w:r>
      <w:r>
        <w:rPr>
          <w:rFonts w:hint="eastAsia" w:ascii="Times New Roman" w:hAnsi="Times New Roman" w:cs="Times New Roman"/>
          <w:szCs w:val="21"/>
          <w:lang w:eastAsia="zh-CN"/>
        </w:rPr>
        <w:t>（</w:t>
      </w:r>
      <w:r>
        <w:rPr>
          <w:rFonts w:hint="default" w:ascii="Times New Roman" w:hAnsi="Times New Roman" w:cs="Times New Roman"/>
          <w:szCs w:val="21"/>
          <w:lang w:eastAsia="zh-CN"/>
        </w:rPr>
        <w:t>一</w:t>
      </w:r>
      <w:r>
        <w:rPr>
          <w:rFonts w:hint="eastAsia" w:ascii="Times New Roman" w:hAnsi="Times New Roman" w:cs="Times New Roman"/>
          <w:szCs w:val="21"/>
          <w:lang w:eastAsia="zh-CN"/>
        </w:rPr>
        <w:t>）</w:t>
      </w:r>
      <w:r>
        <w:rPr>
          <w:rFonts w:hint="default" w:ascii="Times New Roman" w:hAnsi="Times New Roman" w:cs="Times New Roman"/>
          <w:szCs w:val="21"/>
          <w:lang w:eastAsia="zh-CN"/>
        </w:rPr>
        <w:t>可在第1</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3学期修读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体能</w:t>
      </w:r>
      <w:r>
        <w:rPr>
          <w:rFonts w:hint="eastAsia" w:ascii="Times New Roman" w:hAnsi="Times New Roman" w:cs="Times New Roman"/>
          <w:szCs w:val="21"/>
          <w:lang w:eastAsia="zh-CN"/>
        </w:rPr>
        <w:t>（二）</w:t>
      </w:r>
      <w:r>
        <w:rPr>
          <w:rFonts w:hint="default" w:ascii="Times New Roman" w:hAnsi="Times New Roman" w:cs="Times New Roman"/>
          <w:szCs w:val="21"/>
          <w:lang w:eastAsia="zh-CN"/>
        </w:rPr>
        <w:t>可在第2</w:t>
      </w:r>
      <w:r>
        <w:rPr>
          <w:rFonts w:hint="eastAsia" w:ascii="Times New Roman" w:hAnsi="Times New Roman" w:cs="Times New Roman"/>
          <w:szCs w:val="21"/>
          <w:lang w:val="en-US" w:eastAsia="zh-CN"/>
        </w:rPr>
        <w:t>或</w:t>
      </w:r>
      <w:r>
        <w:rPr>
          <w:rFonts w:hint="default" w:ascii="Times New Roman" w:hAnsi="Times New Roman" w:cs="Times New Roman"/>
          <w:szCs w:val="21"/>
          <w:lang w:eastAsia="zh-CN"/>
        </w:rPr>
        <w:t>4学期修读；体育技能课程可在第1至6学期修读</w:t>
      </w:r>
      <w:r>
        <w:rPr>
          <w:rFonts w:hint="eastAsia" w:ascii="Times New Roman" w:hAnsi="Times New Roman" w:cs="Times New Roman"/>
          <w:szCs w:val="21"/>
          <w:lang w:eastAsia="zh-CN"/>
        </w:rPr>
        <w:t>，</w:t>
      </w:r>
      <w:r>
        <w:rPr>
          <w:rFonts w:hint="default" w:ascii="Times New Roman" w:hAnsi="Times New Roman" w:cs="Times New Roman"/>
          <w:szCs w:val="21"/>
          <w:lang w:eastAsia="zh-CN"/>
        </w:rPr>
        <w:t>且两个体育技能课程为不同体育运动项目。</w:t>
      </w:r>
    </w:p>
    <w:bookmarkEnd w:id="26"/>
    <w:tbl>
      <w:tblPr>
        <w:tblStyle w:val="4"/>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737"/>
        <w:gridCol w:w="1020"/>
        <w:gridCol w:w="3225"/>
        <w:gridCol w:w="660"/>
        <w:gridCol w:w="702"/>
        <w:gridCol w:w="612"/>
        <w:gridCol w:w="651"/>
        <w:gridCol w:w="6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99" w:type="dxa"/>
            <w:gridSpan w:val="2"/>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课程类别</w:t>
            </w:r>
          </w:p>
        </w:tc>
        <w:tc>
          <w:tcPr>
            <w:tcW w:w="102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225"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60"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702"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时</w:t>
            </w:r>
          </w:p>
        </w:tc>
        <w:tc>
          <w:tcPr>
            <w:tcW w:w="1263" w:type="dxa"/>
            <w:gridSpan w:val="2"/>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624"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128"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27" w:name="_Toc859"/>
            <w:bookmarkStart w:id="28" w:name="_Toc6901"/>
            <w:bookmarkStart w:id="29" w:name="_Toc4258"/>
            <w:r>
              <w:rPr>
                <w:rFonts w:hint="default" w:ascii="Times New Roman" w:hAnsi="Times New Roman" w:cs="Times New Roman"/>
                <w:color w:val="auto"/>
              </w:rPr>
              <w:t>开课</w:t>
            </w:r>
            <w:bookmarkEnd w:id="27"/>
            <w:bookmarkEnd w:id="28"/>
            <w:bookmarkEnd w:id="29"/>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rPr>
            </w:pPr>
            <w:bookmarkStart w:id="30" w:name="_Toc26090"/>
            <w:bookmarkStart w:id="31" w:name="_Toc23678"/>
            <w:bookmarkStart w:id="32" w:name="_Toc8747"/>
            <w:r>
              <w:rPr>
                <w:rFonts w:hint="default" w:ascii="Times New Roman" w:hAnsi="Times New Roman" w:cs="Times New Roman"/>
                <w:color w:val="auto"/>
              </w:rPr>
              <w:t>学院</w:t>
            </w:r>
            <w:bookmarkEnd w:id="30"/>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99" w:type="dxa"/>
            <w:gridSpan w:val="2"/>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c>
          <w:tcPr>
            <w:tcW w:w="102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c>
          <w:tcPr>
            <w:tcW w:w="3225"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both"/>
              <w:textAlignment w:val="auto"/>
              <w:rPr>
                <w:rFonts w:hint="default" w:ascii="Times New Roman" w:hAnsi="Times New Roman" w:cs="Times New Roman"/>
                <w:b/>
                <w:bCs/>
                <w:szCs w:val="21"/>
              </w:rPr>
            </w:pPr>
          </w:p>
        </w:tc>
        <w:tc>
          <w:tcPr>
            <w:tcW w:w="660"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c>
          <w:tcPr>
            <w:tcW w:w="70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理论</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讲授</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5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学时</w:t>
            </w:r>
          </w:p>
        </w:tc>
        <w:tc>
          <w:tcPr>
            <w:tcW w:w="624"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c>
          <w:tcPr>
            <w:tcW w:w="1128"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通识</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必修</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课程</w:t>
            </w:r>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2"/>
              <w:jc w:val="center"/>
              <w:textAlignment w:val="auto"/>
              <w:rPr>
                <w:rFonts w:hint="default" w:ascii="Times New Roman" w:hAnsi="Times New Roman" w:cs="Times New Roman"/>
                <w:color w:val="auto"/>
                <w:szCs w:val="21"/>
              </w:rPr>
            </w:pPr>
          </w:p>
        </w:tc>
        <w:tc>
          <w:tcPr>
            <w:tcW w:w="737"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思想</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政治</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理论</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11811001</w:t>
            </w:r>
          </w:p>
        </w:tc>
        <w:tc>
          <w:tcPr>
            <w:tcW w:w="322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思想道德与法治</w:t>
            </w:r>
            <w:r>
              <w:rPr>
                <w:rFonts w:hint="default" w:ascii="Times New Roman" w:hAnsi="Times New Roman" w:cs="Times New Roman"/>
                <w:spacing w:val="-11"/>
                <w:sz w:val="21"/>
                <w:szCs w:val="21"/>
              </w:rPr>
              <w:t>（</w:t>
            </w:r>
            <w:r>
              <w:rPr>
                <w:rFonts w:ascii="Times New Roman" w:hAnsi="Times New Roman" w:eastAsia="宋体" w:cs="Times New Roman"/>
                <w:color w:val="000000"/>
                <w:spacing w:val="-11"/>
                <w:sz w:val="21"/>
              </w:rPr>
              <w:t>Ideological</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and</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Moral</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Cultivation</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and</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the</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Rule</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of</w:t>
            </w:r>
            <w:r>
              <w:rPr>
                <w:rFonts w:hint="eastAsia" w:ascii="Times New Roman" w:hAnsi="Times New Roman" w:eastAsia="宋体" w:cs="Times New Roman"/>
                <w:color w:val="000000"/>
                <w:spacing w:val="-11"/>
                <w:sz w:val="21"/>
                <w:lang w:val="en-US" w:eastAsia="zh-CN"/>
              </w:rPr>
              <w:t xml:space="preserve"> </w:t>
            </w:r>
            <w:r>
              <w:rPr>
                <w:rFonts w:ascii="Times New Roman" w:hAnsi="Times New Roman" w:eastAsia="宋体" w:cs="Times New Roman"/>
                <w:color w:val="000000"/>
                <w:spacing w:val="-11"/>
                <w:sz w:val="21"/>
              </w:rPr>
              <w:t>Law</w:t>
            </w:r>
            <w:r>
              <w:rPr>
                <w:rFonts w:hint="default" w:ascii="Times New Roman" w:hAnsi="Times New Roman" w:cs="Times New Roman"/>
                <w:spacing w:val="-11"/>
                <w:sz w:val="21"/>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2.5</w:t>
            </w:r>
          </w:p>
        </w:tc>
        <w:tc>
          <w:tcPr>
            <w:tcW w:w="70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1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40</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11811002</w:t>
            </w:r>
          </w:p>
        </w:tc>
        <w:tc>
          <w:tcPr>
            <w:tcW w:w="32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中国近现代史纲要（</w:t>
            </w:r>
            <w:r>
              <w:rPr>
                <w:rFonts w:hint="default" w:ascii="Times New Roman" w:hAnsi="Times New Roman" w:cs="Times New Roman"/>
                <w:szCs w:val="21"/>
                <w:lang w:eastAsia="zh-CN"/>
              </w:rPr>
              <w:t>An Outline of Modern and Contemporary Chinese History</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40</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i/>
                <w:kern w:val="2"/>
                <w:sz w:val="21"/>
                <w:szCs w:val="21"/>
                <w:lang w:val="en-US" w:eastAsia="zh-CN" w:bidi="ar-SA"/>
              </w:rPr>
            </w:pPr>
            <w:r>
              <w:rPr>
                <w:rFonts w:hint="default" w:ascii="Times New Roman" w:hAnsi="Times New Roman" w:cs="Times New Roman"/>
                <w:szCs w:val="21"/>
              </w:rPr>
              <w:t>11811004</w:t>
            </w:r>
          </w:p>
        </w:tc>
        <w:tc>
          <w:tcPr>
            <w:tcW w:w="32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形势与政策（</w:t>
            </w:r>
            <w:r>
              <w:rPr>
                <w:rFonts w:hint="default" w:ascii="Times New Roman" w:hAnsi="Times New Roman" w:cs="Times New Roman"/>
                <w:szCs w:val="21"/>
                <w:lang w:eastAsia="zh-CN"/>
              </w:rPr>
              <w:t>Current Situation and Policy</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2,3,4,5</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11811003</w:t>
            </w:r>
          </w:p>
        </w:tc>
        <w:tc>
          <w:tcPr>
            <w:tcW w:w="32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简明新疆地方史教程（</w:t>
            </w:r>
            <w:r>
              <w:rPr>
                <w:rFonts w:hint="default" w:ascii="Times New Roman" w:hAnsi="Times New Roman" w:cs="Times New Roman"/>
                <w:szCs w:val="21"/>
                <w:lang w:eastAsia="zh-CN"/>
              </w:rPr>
              <w:t>A Concise History of Xinjiang</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21811003-</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21811006</w:t>
            </w:r>
          </w:p>
        </w:tc>
        <w:tc>
          <w:tcPr>
            <w:tcW w:w="3225"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四史课程</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3-4</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21811002</w:t>
            </w:r>
          </w:p>
        </w:tc>
        <w:tc>
          <w:tcPr>
            <w:tcW w:w="322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毛泽东思想和中国特色社会主义理论体系概论（</w:t>
            </w:r>
            <w:r>
              <w:rPr>
                <w:rFonts w:hint="default" w:ascii="Times New Roman" w:hAnsi="Times New Roman" w:cs="Times New Roman"/>
                <w:kern w:val="0"/>
                <w:szCs w:val="21"/>
                <w:lang w:eastAsia="zh-CN"/>
              </w:rPr>
              <w:t>An Introduction to Mao Zedong Thought and the Theoretical System of Socialism with Chinese Characteristics</w:t>
            </w:r>
            <w:r>
              <w:rPr>
                <w:rFonts w:hint="default" w:ascii="Times New Roman" w:hAnsi="Times New Roman" w:cs="Times New Roman"/>
                <w:kern w:val="0"/>
                <w:szCs w:val="21"/>
              </w:rPr>
              <w:t>）</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70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61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32</w:t>
            </w:r>
          </w:p>
        </w:tc>
        <w:tc>
          <w:tcPr>
            <w:tcW w:w="651"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1128"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21811001</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马克思主义基本原理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ascii="Times New Roman" w:hAnsi="Times New Roman" w:eastAsia="宋体" w:cs="Times New Roman"/>
                <w:color w:val="000000"/>
                <w:szCs w:val="21"/>
              </w:rPr>
            </w:pPr>
            <w:r>
              <w:rPr>
                <w:rFonts w:hint="default" w:ascii="Times New Roman" w:hAnsi="Times New Roman" w:cs="Times New Roman"/>
                <w:szCs w:val="21"/>
              </w:rPr>
              <w:t>（</w:t>
            </w:r>
            <w:r>
              <w:rPr>
                <w:rFonts w:ascii="Times New Roman" w:hAnsi="Times New Roman" w:eastAsia="宋体" w:cs="Times New Roman"/>
                <w:color w:val="000000"/>
                <w:szCs w:val="21"/>
              </w:rPr>
              <w:t>Fundamental</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Principles</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of</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Marxism</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5</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31811001</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kern w:val="0"/>
                <w:szCs w:val="21"/>
              </w:rPr>
              <w:t>习近平新时代中国特色社会主义思想概论（An Introduction to Xi Jinping Thought on Socialism with Chinese Characteristics for a New Era）</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3</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48</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5</w:t>
            </w:r>
          </w:p>
        </w:tc>
        <w:tc>
          <w:tcPr>
            <w:tcW w:w="1128"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tcBorders>
              <w:bottom w:val="single" w:color="auto" w:sz="4" w:space="0"/>
            </w:tcBorders>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外语类</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4245" w:type="dxa"/>
            <w:gridSpan w:val="2"/>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both"/>
              <w:textAlignment w:val="auto"/>
              <w:rPr>
                <w:rFonts w:hint="default" w:ascii="Times New Roman" w:hAnsi="Times New Roman" w:cs="Times New Roman"/>
                <w:szCs w:val="21"/>
              </w:rPr>
            </w:pPr>
            <w:r>
              <w:rPr>
                <w:rFonts w:hint="default" w:ascii="Times New Roman" w:hAnsi="Times New Roman" w:cs="Times New Roman"/>
                <w:szCs w:val="21"/>
              </w:rPr>
              <w:t>修读大学外语（大学英语、大学俄语、大学日语等）修满9学分，160学时。</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9</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160</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128</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2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auto"/>
              <w:rPr>
                <w:rFonts w:hint="default" w:ascii="Times New Roman" w:hAnsi="Times New Roman" w:cs="Times New Roman"/>
                <w:szCs w:val="21"/>
              </w:rPr>
            </w:pPr>
            <w:r>
              <w:rPr>
                <w:rFonts w:hint="default" w:ascii="Times New Roman" w:hAnsi="Times New Roman" w:cs="Times New Roman"/>
                <w:szCs w:val="21"/>
              </w:rPr>
              <w:t>1,2,3,4</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计算机类课程</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color w:val="auto"/>
                <w:szCs w:val="21"/>
              </w:rPr>
            </w:pPr>
            <w:bookmarkStart w:id="33" w:name="_Toc3289"/>
            <w:bookmarkStart w:id="34" w:name="_Toc7575"/>
            <w:bookmarkStart w:id="35" w:name="_Toc30431"/>
            <w:r>
              <w:rPr>
                <w:rFonts w:hint="default" w:ascii="Times New Roman" w:hAnsi="Times New Roman" w:cs="Times New Roman"/>
                <w:b w:val="0"/>
                <w:bCs w:val="0"/>
                <w:color w:val="auto"/>
                <w:szCs w:val="21"/>
              </w:rPr>
              <w:t>10811001</w:t>
            </w:r>
            <w:bookmarkEnd w:id="33"/>
            <w:bookmarkEnd w:id="34"/>
            <w:bookmarkEnd w:id="35"/>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大学计算机基础（Fundamentals of College Computer Science）</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10811002</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多媒体技术及应用（</w:t>
            </w:r>
            <w:r>
              <w:rPr>
                <w:rFonts w:hint="default" w:ascii="Times New Roman" w:hAnsi="Times New Roman" w:cs="Times New Roman"/>
                <w:szCs w:val="21"/>
                <w:lang w:eastAsia="zh-CN"/>
              </w:rPr>
              <w:t>Multimedia Technology and Application</w:t>
            </w:r>
            <w:r>
              <w:rPr>
                <w:rFonts w:hint="default" w:ascii="Times New Roman" w:hAnsi="Times New Roman" w:cs="Times New Roman"/>
                <w:szCs w:val="21"/>
              </w:rPr>
              <w:t>）</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信息科学与技术学院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高等</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数学类</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11711007</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高等数学D</w:t>
            </w:r>
          </w:p>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（Advanced Mathematics D）</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51"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p>
          <w:p>
            <w:pPr>
              <w:pageBreakBefore w:val="0"/>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p>
          <w:p>
            <w:pPr>
              <w:pageBreakBefore w:val="0"/>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物理类</w:t>
            </w:r>
          </w:p>
          <w:p>
            <w:pPr>
              <w:pageBreakBefore w:val="0"/>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2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21711005</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大学物理C（College Physics C）</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48</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21711006</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大学物理实验B（College Physics Experiments B）</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0.5</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24"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w:t>
            </w:r>
          </w:p>
        </w:tc>
        <w:tc>
          <w:tcPr>
            <w:tcW w:w="1128"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大学</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化学类</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10711001</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大学化学A（College Chemistry A）</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64</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2"/>
              <w:jc w:val="center"/>
              <w:textAlignment w:val="auto"/>
              <w:rPr>
                <w:rFonts w:hint="default" w:ascii="Times New Roman" w:hAnsi="Times New Roman" w:cs="Times New Roman"/>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10711005</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大学化学实验A（College Chemistry Experiments A）</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24"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28"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restart"/>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体育类</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10311003</w:t>
            </w:r>
          </w:p>
        </w:tc>
        <w:tc>
          <w:tcPr>
            <w:tcW w:w="322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体育技能（一）（</w:t>
            </w:r>
            <w:r>
              <w:rPr>
                <w:rFonts w:hint="default" w:ascii="Times New Roman" w:hAnsi="Times New Roman" w:cs="Times New Roman"/>
                <w:szCs w:val="21"/>
                <w:lang w:eastAsia="zh-CN"/>
              </w:rPr>
              <w:t>Sports Skills 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2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10311004</w:t>
            </w:r>
          </w:p>
        </w:tc>
        <w:tc>
          <w:tcPr>
            <w:tcW w:w="322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体育技能（二）（</w:t>
            </w:r>
            <w:r>
              <w:rPr>
                <w:rFonts w:hint="default" w:ascii="Times New Roman" w:hAnsi="Times New Roman" w:cs="Times New Roman"/>
                <w:szCs w:val="21"/>
                <w:lang w:eastAsia="zh-CN"/>
              </w:rPr>
              <w:t>Sports Skills II</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10311001</w:t>
            </w:r>
          </w:p>
        </w:tc>
        <w:tc>
          <w:tcPr>
            <w:tcW w:w="3225" w:type="dxa"/>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体能（一）（Physical Capability 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w:t>
            </w: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20</w:t>
            </w: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1、3</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10311002</w:t>
            </w:r>
          </w:p>
        </w:tc>
        <w:tc>
          <w:tcPr>
            <w:tcW w:w="322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体能（二）（Physical Capability II）</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2、4</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restart"/>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6" w:name="_Toc22629"/>
            <w:bookmarkStart w:id="37" w:name="_Toc17124"/>
            <w:bookmarkStart w:id="38" w:name="_Toc7366"/>
            <w:r>
              <w:rPr>
                <w:rFonts w:hint="default" w:ascii="Times New Roman" w:hAnsi="Times New Roman" w:cs="Times New Roman"/>
                <w:b w:val="0"/>
                <w:bCs w:val="0"/>
                <w:color w:val="auto"/>
                <w:kern w:val="2"/>
                <w:szCs w:val="21"/>
              </w:rPr>
              <w:t>素质</w:t>
            </w:r>
            <w:bookmarkEnd w:id="36"/>
            <w:bookmarkEnd w:id="37"/>
            <w:bookmarkEnd w:id="38"/>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39" w:name="_Toc28712"/>
            <w:bookmarkStart w:id="40" w:name="_Toc27684"/>
            <w:bookmarkStart w:id="41" w:name="_Toc16185"/>
            <w:r>
              <w:rPr>
                <w:rFonts w:hint="default" w:ascii="Times New Roman" w:hAnsi="Times New Roman" w:cs="Times New Roman"/>
                <w:b w:val="0"/>
                <w:bCs w:val="0"/>
                <w:color w:val="auto"/>
                <w:kern w:val="2"/>
                <w:szCs w:val="21"/>
              </w:rPr>
              <w:t>拓展类</w:t>
            </w:r>
            <w:bookmarkEnd w:id="39"/>
            <w:bookmarkEnd w:id="40"/>
            <w:bookmarkEnd w:id="41"/>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kern w:val="2"/>
                <w:szCs w:val="21"/>
              </w:rPr>
            </w:pPr>
            <w:bookmarkStart w:id="42" w:name="_Toc18264"/>
            <w:bookmarkStart w:id="43" w:name="_Toc27675"/>
            <w:bookmarkStart w:id="44" w:name="_Toc23253"/>
            <w:r>
              <w:rPr>
                <w:rFonts w:hint="default" w:ascii="Times New Roman" w:hAnsi="Times New Roman" w:cs="Times New Roman"/>
                <w:b w:val="0"/>
                <w:bCs w:val="0"/>
                <w:color w:val="auto"/>
                <w:kern w:val="2"/>
                <w:szCs w:val="21"/>
              </w:rPr>
              <w:t>课程</w:t>
            </w:r>
            <w:bookmarkEnd w:id="42"/>
            <w:bookmarkEnd w:id="43"/>
            <w:bookmarkEnd w:id="44"/>
          </w:p>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12111001</w:t>
            </w:r>
          </w:p>
        </w:tc>
        <w:tc>
          <w:tcPr>
            <w:tcW w:w="322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pacing w:val="-11"/>
                <w:sz w:val="21"/>
                <w:szCs w:val="21"/>
              </w:rPr>
            </w:pPr>
            <w:r>
              <w:rPr>
                <w:rFonts w:hint="default" w:ascii="Times New Roman" w:hAnsi="Times New Roman" w:cs="Times New Roman"/>
                <w:szCs w:val="21"/>
              </w:rPr>
              <w:t>大学生心理健康教育</w:t>
            </w:r>
            <w:r>
              <w:rPr>
                <w:rFonts w:hint="default" w:ascii="Times New Roman" w:hAnsi="Times New Roman" w:cs="Times New Roman"/>
                <w:spacing w:val="-11"/>
                <w:sz w:val="21"/>
                <w:szCs w:val="21"/>
              </w:rPr>
              <w:t>（Psychological</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pacing w:val="-11"/>
                <w:sz w:val="21"/>
                <w:szCs w:val="21"/>
              </w:rPr>
              <w:t>Health Education for College Students）</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51"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心理健康教育中心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0" w:firstLineChars="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12311002</w:t>
            </w:r>
          </w:p>
        </w:tc>
        <w:tc>
          <w:tcPr>
            <w:tcW w:w="3225"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大学生职业发展与就业指导</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pacing w:val="-11"/>
                <w:sz w:val="21"/>
                <w:szCs w:val="21"/>
              </w:rPr>
              <w:t>（</w:t>
            </w:r>
            <w:r>
              <w:rPr>
                <w:rFonts w:hint="default" w:ascii="Times New Roman" w:hAnsi="Times New Roman" w:cs="Times New Roman"/>
                <w:spacing w:val="-11"/>
                <w:sz w:val="21"/>
                <w:szCs w:val="21"/>
                <w:lang w:eastAsia="zh-CN"/>
              </w:rPr>
              <w:t>Career Development and Employment Guidance for College Students</w:t>
            </w:r>
            <w:r>
              <w:rPr>
                <w:rFonts w:hint="default" w:ascii="Times New Roman" w:hAnsi="Times New Roman" w:cs="Times New Roman"/>
                <w:spacing w:val="-11"/>
                <w:sz w:val="21"/>
                <w:szCs w:val="21"/>
              </w:rPr>
              <w:t>）</w:t>
            </w:r>
          </w:p>
        </w:tc>
        <w:tc>
          <w:tcPr>
            <w:tcW w:w="66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70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12"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p>
        </w:tc>
        <w:tc>
          <w:tcPr>
            <w:tcW w:w="624"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left="-105" w:leftChars="-50" w:right="-105" w:rightChars="-5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1,3,5,7</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10211001</w:t>
            </w:r>
          </w:p>
        </w:tc>
        <w:tc>
          <w:tcPr>
            <w:tcW w:w="3225"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军事理论与国家安全（</w:t>
            </w:r>
            <w:r>
              <w:rPr>
                <w:rFonts w:hint="default" w:ascii="Times New Roman" w:hAnsi="Times New Roman" w:cs="Times New Roman"/>
                <w:szCs w:val="21"/>
                <w:lang w:eastAsia="zh-CN"/>
              </w:rPr>
              <w:t>Military Theory and National Security</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70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12"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32</w:t>
            </w: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Merge w:val="continue"/>
            <w:vAlign w:val="center"/>
          </w:tcPr>
          <w:p>
            <w:pPr>
              <w:pStyle w:val="2"/>
              <w:pageBreakBefore w:val="0"/>
              <w:kinsoku/>
              <w:wordWrap/>
              <w:overflowPunct/>
              <w:topLinePunct w:val="0"/>
              <w:bidi w:val="0"/>
              <w:snapToGrid w:val="0"/>
              <w:spacing w:beforeLines="0" w:beforeAutospacing="0" w:afterLines="0" w:afterAutospacing="0" w:line="240" w:lineRule="auto"/>
              <w:ind w:left="0" w:leftChars="0" w:right="0" w:rightChars="0" w:firstLine="420"/>
              <w:jc w:val="center"/>
              <w:textAlignment w:val="auto"/>
              <w:rPr>
                <w:rFonts w:hint="default" w:ascii="Times New Roman" w:hAnsi="Times New Roman" w:cs="Times New Roman"/>
                <w:b w:val="0"/>
                <w:color w:val="auto"/>
                <w:szCs w:val="21"/>
              </w:rPr>
            </w:pPr>
          </w:p>
        </w:tc>
        <w:tc>
          <w:tcPr>
            <w:tcW w:w="1020" w:type="dxa"/>
            <w:vAlign w:val="center"/>
          </w:tcPr>
          <w:p>
            <w:pPr>
              <w:pageBreakBefore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11611001</w:t>
            </w:r>
          </w:p>
        </w:tc>
        <w:tc>
          <w:tcPr>
            <w:tcW w:w="3225" w:type="dxa"/>
            <w:vAlign w:val="center"/>
          </w:tcPr>
          <w:p>
            <w:pPr>
              <w:keepNext w:val="0"/>
              <w:keepLines w:val="0"/>
              <w:pageBreakBefore w:val="0"/>
              <w:widowControl/>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创新创业基础（Fundamentals of Innovation and Entrepreneurship）</w:t>
            </w:r>
          </w:p>
        </w:tc>
        <w:tc>
          <w:tcPr>
            <w:tcW w:w="660"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w:t>
            </w:r>
          </w:p>
        </w:tc>
        <w:tc>
          <w:tcPr>
            <w:tcW w:w="70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12" w:type="dxa"/>
            <w:vAlign w:val="center"/>
          </w:tcPr>
          <w:p>
            <w:pPr>
              <w:pageBreakBefore w:val="0"/>
              <w:widowControl/>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16</w:t>
            </w:r>
          </w:p>
        </w:tc>
        <w:tc>
          <w:tcPr>
            <w:tcW w:w="651"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624"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2-5</w:t>
            </w:r>
          </w:p>
        </w:tc>
        <w:tc>
          <w:tcPr>
            <w:tcW w:w="1128" w:type="dxa"/>
            <w:vAlign w:val="center"/>
          </w:tcPr>
          <w:p>
            <w:pPr>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经济与管理学院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restart"/>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通识</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课程</w:t>
            </w:r>
          </w:p>
        </w:tc>
        <w:tc>
          <w:tcPr>
            <w:tcW w:w="737"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美育类</w:t>
            </w:r>
          </w:p>
        </w:tc>
        <w:tc>
          <w:tcPr>
            <w:tcW w:w="102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模块一</w:t>
            </w:r>
          </w:p>
        </w:tc>
        <w:tc>
          <w:tcPr>
            <w:tcW w:w="3225" w:type="dxa"/>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2</w:t>
            </w:r>
          </w:p>
        </w:tc>
        <w:tc>
          <w:tcPr>
            <w:tcW w:w="3717"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r>
              <w:rPr>
                <w:rFonts w:hint="default" w:ascii="Times New Roman" w:hAnsi="Times New Roman" w:cs="Times New Roman"/>
                <w:szCs w:val="21"/>
              </w:rPr>
              <w:t>至少选修一门课，最低选修2学分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62" w:type="dxa"/>
            <w:vMerge w:val="continue"/>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37"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r>
              <w:rPr>
                <w:rFonts w:hint="default" w:ascii="Times New Roman" w:hAnsi="Times New Roman" w:cs="Times New Roman"/>
                <w:szCs w:val="21"/>
              </w:rPr>
              <w:t>人文社会科学类</w:t>
            </w:r>
          </w:p>
        </w:tc>
        <w:tc>
          <w:tcPr>
            <w:tcW w:w="1020" w:type="dxa"/>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rPr>
              <w:t>模块二</w:t>
            </w:r>
          </w:p>
        </w:tc>
        <w:tc>
          <w:tcPr>
            <w:tcW w:w="3225" w:type="dxa"/>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szCs w:val="21"/>
              </w:rPr>
            </w:pPr>
            <w:r>
              <w:rPr>
                <w:rFonts w:hint="default" w:ascii="Times New Roman" w:hAnsi="Times New Roman" w:cs="Times New Roman"/>
                <w:szCs w:val="21"/>
              </w:rPr>
              <w:t>见选课清单</w:t>
            </w:r>
          </w:p>
        </w:tc>
        <w:tc>
          <w:tcPr>
            <w:tcW w:w="660" w:type="dxa"/>
            <w:vAlign w:val="center"/>
          </w:tcPr>
          <w:p>
            <w:pPr>
              <w:pageBreakBefore w:val="0"/>
              <w:kinsoku/>
              <w:wordWrap/>
              <w:overflowPunct/>
              <w:topLinePunct w:val="0"/>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w:t>
            </w:r>
          </w:p>
        </w:tc>
        <w:tc>
          <w:tcPr>
            <w:tcW w:w="3717" w:type="dxa"/>
            <w:gridSpan w:val="5"/>
            <w:vAlign w:val="center"/>
          </w:tcPr>
          <w:p>
            <w:pPr>
              <w:pageBreakBefore w:val="0"/>
              <w:widowControl/>
              <w:kinsoku/>
              <w:wordWrap/>
              <w:overflowPunct/>
              <w:topLinePunct w:val="0"/>
              <w:bidi w:val="0"/>
              <w:adjustRightInd w:val="0"/>
              <w:snapToGrid w:val="0"/>
              <w:spacing w:beforeAutospacing="0" w:afterAutospacing="0" w:line="240" w:lineRule="auto"/>
              <w:ind w:left="0" w:leftChars="0" w:right="0" w:rightChars="0" w:firstLine="105" w:firstLineChars="50"/>
              <w:jc w:val="center"/>
              <w:textAlignment w:val="auto"/>
              <w:rPr>
                <w:rFonts w:hint="default" w:ascii="Times New Roman" w:hAnsi="Times New Roman" w:cs="Times New Roman"/>
                <w:szCs w:val="21"/>
              </w:rPr>
            </w:pPr>
            <w:r>
              <w:rPr>
                <w:rFonts w:hint="default" w:ascii="Times New Roman" w:hAnsi="Times New Roman" w:cs="Times New Roman"/>
                <w:szCs w:val="21"/>
              </w:rPr>
              <w:t>最低选修5学分</w:t>
            </w:r>
          </w:p>
        </w:tc>
      </w:tr>
    </w:tbl>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2"/>
        <w:rPr>
          <w:rFonts w:hint="default" w:ascii="Times New Roman" w:hAnsi="Times New Roman" w:cs="Times New Roman"/>
          <w:b/>
          <w:bCs/>
          <w:szCs w:val="21"/>
        </w:rPr>
      </w:pPr>
      <w:bookmarkStart w:id="45" w:name="_Toc212"/>
      <w:bookmarkStart w:id="46" w:name="_Toc32341"/>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二</w:t>
      </w:r>
      <w:r>
        <w:rPr>
          <w:rFonts w:hint="eastAsia" w:ascii="Times New Roman" w:hAnsi="Times New Roman" w:cs="Times New Roman"/>
          <w:b/>
          <w:bCs/>
          <w:szCs w:val="21"/>
          <w:lang w:eastAsia="zh-CN"/>
        </w:rPr>
        <w:t>）</w:t>
      </w:r>
      <w:r>
        <w:rPr>
          <w:rFonts w:hint="default" w:ascii="Times New Roman" w:hAnsi="Times New Roman" w:cs="Times New Roman"/>
          <w:b/>
          <w:bCs/>
          <w:szCs w:val="21"/>
        </w:rPr>
        <w:t>专业教育（必</w:t>
      </w:r>
      <w:r>
        <w:rPr>
          <w:rFonts w:hint="default" w:ascii="Times New Roman" w:hAnsi="Times New Roman" w:cs="Times New Roman"/>
          <w:kern w:val="0"/>
          <w:szCs w:val="21"/>
        </w:rPr>
        <w:t>修142</w:t>
      </w:r>
      <w:r>
        <w:rPr>
          <w:rFonts w:hint="default" w:ascii="Times New Roman" w:hAnsi="Times New Roman" w:cs="Times New Roman"/>
          <w:b/>
          <w:bCs/>
          <w:szCs w:val="21"/>
        </w:rPr>
        <w:t>学分，选修10学分）</w:t>
      </w:r>
      <w:bookmarkEnd w:id="45"/>
      <w:bookmarkEnd w:id="46"/>
    </w:p>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rPr>
          <w:rFonts w:hint="default" w:ascii="Times New Roman" w:hAnsi="Times New Roman" w:cs="Times New Roman"/>
          <w:szCs w:val="21"/>
        </w:rPr>
      </w:pPr>
      <w:r>
        <w:rPr>
          <w:rFonts w:hint="default" w:ascii="Times New Roman" w:hAnsi="Times New Roman" w:cs="Times New Roman"/>
          <w:szCs w:val="21"/>
        </w:rPr>
        <w:t>修读要求：专业教育必修课程需修满142学分（其中专业基础课程修读3</w:t>
      </w:r>
      <w:r>
        <w:rPr>
          <w:rFonts w:hint="default" w:ascii="Times New Roman" w:hAnsi="Times New Roman" w:cs="Times New Roman"/>
          <w:szCs w:val="21"/>
          <w:lang w:val="en-US" w:eastAsia="zh-CN"/>
        </w:rPr>
        <w:t>8</w:t>
      </w:r>
      <w:r>
        <w:rPr>
          <w:rFonts w:hint="default" w:ascii="Times New Roman" w:hAnsi="Times New Roman" w:cs="Times New Roman"/>
          <w:szCs w:val="21"/>
        </w:rPr>
        <w:t>学分，专业</w:t>
      </w:r>
      <w:r>
        <w:rPr>
          <w:rFonts w:hint="default" w:ascii="Times New Roman" w:hAnsi="Times New Roman" w:cs="Times New Roman"/>
          <w:szCs w:val="21"/>
          <w:lang w:val="en-US" w:eastAsia="zh-CN"/>
        </w:rPr>
        <w:t>核心</w:t>
      </w:r>
      <w:r>
        <w:rPr>
          <w:rFonts w:hint="default" w:ascii="Times New Roman" w:hAnsi="Times New Roman" w:cs="Times New Roman"/>
          <w:szCs w:val="21"/>
        </w:rPr>
        <w:t>课程修读10</w:t>
      </w:r>
      <w:r>
        <w:rPr>
          <w:rFonts w:hint="default" w:ascii="Times New Roman" w:hAnsi="Times New Roman" w:cs="Times New Roman"/>
          <w:szCs w:val="21"/>
          <w:lang w:val="en-US" w:eastAsia="zh-CN"/>
        </w:rPr>
        <w:t>4</w:t>
      </w:r>
      <w:r>
        <w:rPr>
          <w:rFonts w:hint="default" w:ascii="Times New Roman" w:hAnsi="Times New Roman" w:cs="Times New Roman"/>
          <w:szCs w:val="21"/>
        </w:rPr>
        <w:t>学分），专业教育选修课程最低选修10学分（其中专业方向课程不低于8学分，专业拓展课程不低于2学分）。</w:t>
      </w:r>
    </w:p>
    <w:tbl>
      <w:tblPr>
        <w:tblStyle w:val="4"/>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5"/>
        <w:gridCol w:w="244"/>
        <w:gridCol w:w="506"/>
        <w:gridCol w:w="1005"/>
        <w:gridCol w:w="3240"/>
        <w:gridCol w:w="660"/>
        <w:gridCol w:w="690"/>
        <w:gridCol w:w="615"/>
        <w:gridCol w:w="660"/>
        <w:gridCol w:w="57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305" w:type="dxa"/>
            <w:gridSpan w:val="3"/>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课程</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100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324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66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分</w:t>
            </w:r>
          </w:p>
        </w:tc>
        <w:tc>
          <w:tcPr>
            <w:tcW w:w="69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总</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时</w:t>
            </w:r>
          </w:p>
        </w:tc>
        <w:tc>
          <w:tcPr>
            <w:tcW w:w="1275" w:type="dxa"/>
            <w:gridSpan w:val="2"/>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学时分配</w:t>
            </w:r>
          </w:p>
        </w:tc>
        <w:tc>
          <w:tcPr>
            <w:tcW w:w="570"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学期</w:t>
            </w:r>
          </w:p>
        </w:tc>
        <w:tc>
          <w:tcPr>
            <w:tcW w:w="1176"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开课</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305" w:type="dxa"/>
            <w:gridSpan w:val="3"/>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100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324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b/>
                <w:bCs/>
                <w:szCs w:val="21"/>
              </w:rPr>
            </w:pPr>
          </w:p>
        </w:tc>
        <w:tc>
          <w:tcPr>
            <w:tcW w:w="66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9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b/>
                <w:bCs/>
                <w:szCs w:val="21"/>
              </w:rPr>
            </w:pPr>
            <w:r>
              <w:rPr>
                <w:rFonts w:hint="default" w:ascii="Times New Roman" w:hAnsi="Times New Roman" w:cs="Times New Roman"/>
                <w:b/>
                <w:bCs/>
                <w:szCs w:val="21"/>
              </w:rPr>
              <w:t>理论讲授学时</w:t>
            </w:r>
          </w:p>
        </w:tc>
        <w:tc>
          <w:tcPr>
            <w:tcW w:w="6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53" w:firstLineChars="25"/>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实验/实践学时</w:t>
            </w:r>
          </w:p>
        </w:tc>
        <w:tc>
          <w:tcPr>
            <w:tcW w:w="570"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17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专业必修课程</w:t>
            </w:r>
          </w:p>
        </w:tc>
        <w:tc>
          <w:tcPr>
            <w:tcW w:w="750" w:type="dxa"/>
            <w:gridSpan w:val="2"/>
            <w:vMerge w:val="restart"/>
            <w:vAlign w:val="center"/>
          </w:tcPr>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bookmarkStart w:id="47" w:name="_Toc9232"/>
            <w:bookmarkStart w:id="48" w:name="_Toc6184"/>
            <w:bookmarkStart w:id="49" w:name="_Toc24401"/>
            <w:r>
              <w:rPr>
                <w:rFonts w:hint="default" w:ascii="Times New Roman" w:hAnsi="Times New Roman" w:eastAsia="宋体" w:cs="Times New Roman"/>
                <w:b w:val="0"/>
                <w:bCs w:val="0"/>
                <w:color w:val="auto"/>
                <w:kern w:val="2"/>
                <w:sz w:val="21"/>
                <w:szCs w:val="24"/>
                <w:lang w:val="en-US" w:eastAsia="zh-CN" w:bidi="ar-SA"/>
              </w:rPr>
              <w:t>专业</w:t>
            </w:r>
            <w:bookmarkEnd w:id="47"/>
            <w:bookmarkEnd w:id="48"/>
            <w:bookmarkEnd w:id="49"/>
          </w:p>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bookmarkStart w:id="50" w:name="_Toc9300"/>
            <w:bookmarkStart w:id="51" w:name="_Toc26524"/>
            <w:bookmarkStart w:id="52" w:name="_Toc24987"/>
            <w:r>
              <w:rPr>
                <w:rFonts w:hint="default" w:ascii="Times New Roman" w:hAnsi="Times New Roman" w:eastAsia="宋体" w:cs="Times New Roman"/>
                <w:b w:val="0"/>
                <w:bCs w:val="0"/>
                <w:color w:val="auto"/>
                <w:kern w:val="2"/>
                <w:sz w:val="21"/>
                <w:szCs w:val="24"/>
                <w:lang w:val="en-US" w:eastAsia="zh-CN" w:bidi="ar-SA"/>
              </w:rPr>
              <w:t>基础</w:t>
            </w:r>
            <w:bookmarkEnd w:id="50"/>
            <w:bookmarkEnd w:id="51"/>
            <w:bookmarkEnd w:id="52"/>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rPr>
            </w:pPr>
            <w:r>
              <w:rPr>
                <w:rFonts w:hint="default" w:ascii="Times New Roman" w:hAnsi="Times New Roman" w:cs="Times New Roman"/>
              </w:rPr>
              <w:t>课程</w:t>
            </w: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11413600</w:t>
            </w:r>
          </w:p>
        </w:tc>
        <w:tc>
          <w:tcPr>
            <w:tcW w:w="3240" w:type="dxa"/>
            <w:vAlign w:val="center"/>
          </w:tcPr>
          <w:p>
            <w:pPr>
              <w:pageBreakBefore w:val="0"/>
              <w:widowControl/>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医学实验室安全教育（</w:t>
            </w:r>
            <w:r>
              <w:rPr>
                <w:rFonts w:hint="default" w:ascii="Times New Roman" w:hAnsi="Times New Roman" w:cs="Times New Roman"/>
                <w:kern w:val="0"/>
                <w:szCs w:val="21"/>
                <w:lang w:eastAsia="zh-CN"/>
              </w:rPr>
              <w:t>Medical Laboratory Safety Education</w:t>
            </w:r>
            <w:r>
              <w:rPr>
                <w:rFonts w:hint="default" w:ascii="Times New Roman" w:hAnsi="Times New Roman" w:cs="Times New Roman"/>
                <w:kern w:val="0"/>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right="0" w:rightChars="0"/>
              <w:jc w:val="center"/>
              <w:rPr>
                <w:rFonts w:hint="default" w:ascii="Times New Roman" w:hAnsi="Times New Roman" w:cs="Times New Roman"/>
                <w:szCs w:val="21"/>
              </w:rPr>
            </w:pPr>
            <w:r>
              <w:rPr>
                <w:rFonts w:hint="default" w:ascii="Times New Roman" w:hAnsi="Times New Roman" w:cs="Times New Roman"/>
                <w:kern w:val="0"/>
                <w:szCs w:val="21"/>
              </w:rPr>
              <w:t>1,3,5</w:t>
            </w:r>
          </w:p>
        </w:tc>
        <w:tc>
          <w:tcPr>
            <w:tcW w:w="1176" w:type="dxa"/>
            <w:vAlign w:val="center"/>
          </w:tcPr>
          <w:p>
            <w:pPr>
              <w:pStyle w:val="5"/>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11413003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医学导论</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w:t>
            </w:r>
            <w:r>
              <w:rPr>
                <w:rFonts w:hint="default" w:ascii="Times New Roman" w:hAnsi="Times New Roman" w:cs="Times New Roman"/>
                <w:kern w:val="0"/>
                <w:szCs w:val="21"/>
                <w:lang w:eastAsia="zh-CN"/>
              </w:rPr>
              <w:t>An Introduction to Medicine</w:t>
            </w:r>
            <w:r>
              <w:rPr>
                <w:rFonts w:hint="default" w:ascii="Times New Roman" w:hAnsi="Times New Roman" w:cs="Times New Roman"/>
                <w:kern w:val="0"/>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11413004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细胞生物学（Cell Biology）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11413005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医学心理学（Medical psychology）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21413004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人体寄生虫学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（Human Parasitology）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40</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kern w:val="0"/>
                <w:szCs w:val="21"/>
              </w:rPr>
            </w:pPr>
            <w:r>
              <w:rPr>
                <w:rFonts w:hint="default" w:ascii="Times New Roman" w:hAnsi="Times New Roman" w:cs="Times New Roman"/>
                <w:kern w:val="0"/>
                <w:szCs w:val="21"/>
              </w:rPr>
              <w:t>21413005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医学伦理学（Medical ethics）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31413011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医学统计学（Medlical Statistics）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10</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31413012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医学遗传学（Medical genetics）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31413013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卫生学（Hygiene）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31413014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医学英语（Medical English）</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31413015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卫生法学（Health law）</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32713004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中医学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（Traditional Chinese Medicine）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48</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32713005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口腔科学（Oral Sciences）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kern w:val="0"/>
                <w:szCs w:val="21"/>
              </w:rPr>
            </w:pPr>
            <w:r>
              <w:rPr>
                <w:rFonts w:hint="default" w:ascii="Times New Roman" w:hAnsi="Times New Roman" w:cs="Times New Roman"/>
                <w:kern w:val="0"/>
                <w:szCs w:val="21"/>
              </w:rPr>
              <w:t>41413001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循证医学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（Evidence-based medicine）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皮肤性病学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（Dermatology and Venereology）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医学院</w:t>
            </w:r>
            <w:r>
              <w:rPr>
                <w:rFonts w:hint="eastAsia" w:ascii="Times New Roman" w:hAnsi="Times New Roman" w:cs="Times New Roman"/>
                <w:szCs w:val="21"/>
                <w:lang w:val="en-US" w:eastAsia="zh-CN"/>
              </w:rPr>
              <w:t>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眼科学（Ophthalmology）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耳鼻喉科学（Otorhinolaryngology）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临床技能学(一)</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（Clinical skills Science  I）</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9"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全科医学概论（</w:t>
            </w:r>
            <w:r>
              <w:rPr>
                <w:rFonts w:hint="default" w:ascii="Times New Roman" w:hAnsi="Times New Roman" w:cs="Times New Roman"/>
                <w:kern w:val="0"/>
                <w:szCs w:val="21"/>
                <w:lang w:eastAsia="zh-CN"/>
              </w:rPr>
              <w:t>An Introduction to General Medicine</w:t>
            </w:r>
            <w:r>
              <w:rPr>
                <w:rFonts w:hint="default" w:ascii="Times New Roman" w:hAnsi="Times New Roman" w:cs="Times New Roman"/>
                <w:kern w:val="0"/>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临床技能学(二)（Clinical skills Science II）</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急诊医学（Emergency medicine）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42713019</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精神</w:t>
            </w:r>
            <w:r>
              <w:rPr>
                <w:rFonts w:hint="default" w:ascii="Times New Roman" w:hAnsi="Times New Roman" w:cs="Times New Roman"/>
                <w:kern w:val="0"/>
                <w:szCs w:val="21"/>
                <w:lang w:val="en-US" w:eastAsia="zh-CN"/>
              </w:rPr>
              <w:t>病</w:t>
            </w:r>
            <w:r>
              <w:rPr>
                <w:rFonts w:hint="default" w:ascii="Times New Roman" w:hAnsi="Times New Roman" w:cs="Times New Roman"/>
                <w:kern w:val="0"/>
                <w:szCs w:val="21"/>
              </w:rPr>
              <w:t>学（</w:t>
            </w:r>
            <w:r>
              <w:rPr>
                <w:rFonts w:hint="default" w:ascii="Times New Roman" w:hAnsi="Times New Roman" w:cs="Times New Roman"/>
              </w:rPr>
              <w:t>Psychiatry</w:t>
            </w:r>
            <w:r>
              <w:rPr>
                <w:rFonts w:hint="default" w:ascii="Times New Roman" w:hAnsi="Times New Roman" w:cs="Times New Roman"/>
                <w:kern w:val="0"/>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28</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1176"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核心课程</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11414003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系统解剖学（Systematic Anatomy）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104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64</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11414004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生物化学（Biochemistry）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104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40</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11414005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基础医学概论（Introduction to Basic Medicine）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104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50</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21414007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免疫系统及相关疾病（Immune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21414008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医学微生物及感染性疾病（Medical microbiology and infectious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144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21414009</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运动系统及相关疾病（Motor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21414010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血液系统及相关疾病（Blood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22714001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临床医学概论（</w:t>
            </w:r>
            <w:r>
              <w:rPr>
                <w:rFonts w:hint="default" w:ascii="Times New Roman" w:hAnsi="Times New Roman" w:cs="Times New Roman"/>
                <w:szCs w:val="21"/>
                <w:lang w:eastAsia="zh-CN"/>
              </w:rPr>
              <w:t>An Introduction to Clinical Medicine</w:t>
            </w:r>
            <w:r>
              <w:rPr>
                <w:rFonts w:hint="default" w:ascii="Times New Roman" w:hAnsi="Times New Roman" w:cs="Times New Roman"/>
                <w:szCs w:val="21"/>
              </w:rPr>
              <w:t>）</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66</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医学院</w:t>
            </w:r>
            <w:r>
              <w:rPr>
                <w:rFonts w:hint="eastAsia" w:ascii="Times New Roman" w:hAnsi="Times New Roman" w:cs="Times New Roman"/>
                <w:szCs w:val="21"/>
                <w:lang w:val="en-US" w:eastAsia="zh-CN"/>
              </w:rPr>
              <w:t>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流行病学（Epidemiology）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40</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28</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消化系统及相关疾病（Digestive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呼吸系统及相关疾病（Respiratory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120</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72</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48</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kern w:val="0"/>
                <w:szCs w:val="21"/>
              </w:rPr>
              <w:t>医患沟通学（Doctor-patient Communication）</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循环系统及相关疾病（Digestive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9.5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89</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63</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31414008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内分泌系统及相关疾病（Endocrine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48</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14</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41414001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泌尿系统及相关疾病（Urinary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88</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54</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34</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41414002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女性生殖系统及相关疾病（Female reproductive system and related diseases）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120</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88</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41414003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神经系统及相关疾病（Neurological and related disorders）</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7</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112</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80</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8</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244"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专业方向课程</w:t>
            </w:r>
          </w:p>
        </w:tc>
        <w:tc>
          <w:tcPr>
            <w:tcW w:w="506"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公共卫生与健康教育模块</w:t>
            </w: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1415001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社会医学（Social Medicine）</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18</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6</w:t>
            </w: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lang w:eastAsia="zh-CN"/>
              </w:rPr>
            </w:pPr>
            <w:r>
              <w:rPr>
                <w:rFonts w:hint="default" w:ascii="Times New Roman" w:hAnsi="Times New Roman" w:cs="Times New Roman"/>
                <w:szCs w:val="21"/>
                <w:lang w:val="en-US" w:eastAsia="zh-CN"/>
              </w:rPr>
              <w:t>4</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1415002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医学社会学（Medical Sociology）</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lang w:eastAsia="zh-CN"/>
              </w:rPr>
            </w:pPr>
            <w:r>
              <w:rPr>
                <w:rFonts w:hint="default" w:ascii="Times New Roman" w:hAnsi="Times New Roman" w:cs="Times New Roman"/>
                <w:szCs w:val="21"/>
                <w:lang w:val="en-US" w:eastAsia="zh-CN"/>
              </w:rPr>
              <w:t>4</w:t>
            </w:r>
          </w:p>
        </w:tc>
        <w:tc>
          <w:tcPr>
            <w:tcW w:w="1176" w:type="dxa"/>
            <w:vAlign w:val="center"/>
          </w:tcPr>
          <w:p>
            <w:pPr>
              <w:keepNext w:val="0"/>
              <w:keepLines w:val="0"/>
              <w:pageBreakBefore w:val="0"/>
              <w:widowControl w:val="0"/>
              <w:kinsoku/>
              <w:wordWrap/>
              <w:overflowPunct/>
              <w:topLinePunct w:val="0"/>
              <w:autoSpaceDE/>
              <w:autoSpaceDN/>
              <w:bidi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21415003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食品卫生学（Food Hygiene）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2141500</w:t>
            </w:r>
            <w:r>
              <w:rPr>
                <w:rFonts w:hint="default" w:ascii="Times New Roman" w:hAnsi="Times New Roman" w:cs="Times New Roman"/>
                <w:szCs w:val="21"/>
                <w:lang w:val="en-US" w:eastAsia="zh-CN"/>
              </w:rPr>
              <w:t>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医学营养学（Medical Nutrition）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20</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4</w:t>
            </w: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3</w:t>
            </w:r>
            <w:r>
              <w:rPr>
                <w:rFonts w:hint="default" w:ascii="Times New Roman" w:hAnsi="Times New Roman" w:cs="Times New Roman"/>
                <w:szCs w:val="21"/>
              </w:rPr>
              <w:t>1415001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卫生管理学（Health Management）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3141500</w:t>
            </w:r>
            <w:r>
              <w:rPr>
                <w:rFonts w:hint="default" w:ascii="Times New Roman" w:hAnsi="Times New Roman" w:cs="Times New Roman"/>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rPr>
              <w:t>健康教育学</w:t>
            </w:r>
            <w:r>
              <w:rPr>
                <w:rFonts w:hint="default" w:ascii="Times New Roman" w:hAnsi="Times New Roman" w:cs="Times New Roman"/>
                <w:lang w:eastAsia="zh-CN"/>
              </w:rPr>
              <w:t>（</w:t>
            </w:r>
            <w:r>
              <w:rPr>
                <w:rFonts w:hint="default" w:ascii="Times New Roman" w:hAnsi="Times New Roman" w:cs="Times New Roman"/>
                <w:lang w:val="en-US" w:eastAsia="zh-CN"/>
              </w:rPr>
              <w:t>Health Education）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rPr>
              <w:t>1415004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临床免疫学（Clinical Immunology）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3141500</w:t>
            </w:r>
            <w:r>
              <w:rPr>
                <w:rFonts w:hint="default" w:ascii="Times New Roman" w:hAnsi="Times New Roman" w:cs="Times New Roman"/>
                <w:szCs w:val="21"/>
                <w:lang w:val="en-US" w:eastAsia="zh-CN"/>
              </w:rPr>
              <w:t>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断面与影像解剖学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（Sectional imaging anatomy）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3141500</w:t>
            </w:r>
            <w:r>
              <w:rPr>
                <w:rFonts w:hint="default" w:ascii="Times New Roman" w:hAnsi="Times New Roman" w:cs="Times New Roman"/>
                <w:szCs w:val="21"/>
                <w:lang w:val="en-US" w:eastAsia="zh-CN"/>
              </w:rPr>
              <w:t>6</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临床病理生理学与病例探讨</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（Clinical pathophysiology and case study）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3141500</w:t>
            </w:r>
            <w:r>
              <w:rPr>
                <w:rFonts w:hint="default" w:ascii="Times New Roman" w:hAnsi="Times New Roman" w:cs="Times New Roman"/>
                <w:szCs w:val="21"/>
                <w:lang w:val="en-US" w:eastAsia="zh-CN"/>
              </w:rPr>
              <w:t>7</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法医学（Medicine Jurisprudence）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3141500</w:t>
            </w:r>
            <w:r>
              <w:rPr>
                <w:rFonts w:hint="default" w:ascii="Times New Roman" w:hAnsi="Times New Roman" w:cs="Times New Roman"/>
                <w:szCs w:val="21"/>
                <w:lang w:val="en-US" w:eastAsia="zh-CN"/>
              </w:rPr>
              <w:t>8</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临床病理学（Clinical Pathology）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32715001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医院感染学（Nosocomiology）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31515700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临床药理学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（Clinical Pharmacology）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康复养老与临终关怀模块</w:t>
            </w: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lang w:eastAsia="zh-CN"/>
              </w:rPr>
            </w:pPr>
            <w:r>
              <w:rPr>
                <w:rFonts w:hint="default" w:ascii="Times New Roman" w:hAnsi="Times New Roman" w:cs="Times New Roman"/>
                <w:szCs w:val="21"/>
                <w:lang w:val="en-US" w:eastAsia="zh-CN"/>
              </w:rPr>
              <w:t>2</w:t>
            </w:r>
            <w:r>
              <w:rPr>
                <w:rFonts w:hint="default" w:ascii="Times New Roman" w:hAnsi="Times New Roman" w:cs="Times New Roman"/>
                <w:szCs w:val="21"/>
              </w:rPr>
              <w:t>141500</w:t>
            </w:r>
            <w:r>
              <w:rPr>
                <w:rFonts w:hint="default" w:ascii="Times New Roman" w:hAnsi="Times New Roman" w:cs="Times New Roman"/>
                <w:szCs w:val="21"/>
                <w:lang w:val="en-US" w:eastAsia="zh-CN"/>
              </w:rPr>
              <w:t>5</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医学生职业形象</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szCs w:val="21"/>
              </w:rPr>
            </w:pPr>
            <w:r>
              <w:rPr>
                <w:rFonts w:hint="default" w:ascii="Times New Roman" w:hAnsi="Times New Roman" w:cs="Times New Roman"/>
                <w:szCs w:val="21"/>
              </w:rPr>
              <w:t>（Medical students' professional image）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lang w:eastAsia="zh-CN"/>
              </w:rPr>
            </w:pPr>
            <w:r>
              <w:rPr>
                <w:rFonts w:hint="default" w:ascii="Times New Roman" w:hAnsi="Times New Roman" w:cs="Times New Roman"/>
                <w:szCs w:val="21"/>
                <w:lang w:val="en-US" w:eastAsia="zh-CN"/>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2141500</w:t>
            </w:r>
            <w:r>
              <w:rPr>
                <w:rFonts w:hint="default" w:ascii="Times New Roman" w:hAnsi="Times New Roman" w:cs="Times New Roman"/>
                <w:szCs w:val="21"/>
                <w:lang w:val="en-US" w:eastAsia="zh-CN"/>
              </w:rPr>
              <w:t>6</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舒缓医学（Palliative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3141500</w:t>
            </w:r>
            <w:r>
              <w:rPr>
                <w:rFonts w:hint="default" w:ascii="Times New Roman" w:hAnsi="Times New Roman" w:cs="Times New Roman"/>
                <w:szCs w:val="21"/>
                <w:lang w:val="en-US" w:eastAsia="zh-CN"/>
              </w:rPr>
              <w:t>9</w:t>
            </w:r>
          </w:p>
        </w:tc>
        <w:tc>
          <w:tcPr>
            <w:tcW w:w="3240" w:type="dxa"/>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jc w:val="both"/>
              <w:textAlignment w:val="bottom"/>
              <w:rPr>
                <w:rFonts w:hint="default" w:ascii="Times New Roman" w:hAnsi="Times New Roman" w:cs="Times New Roman"/>
                <w:kern w:val="0"/>
                <w:szCs w:val="21"/>
              </w:rPr>
            </w:pPr>
            <w:r>
              <w:rPr>
                <w:rFonts w:hint="default" w:ascii="Times New Roman" w:hAnsi="Times New Roman" w:cs="Times New Roman"/>
                <w:kern w:val="0"/>
                <w:szCs w:val="21"/>
              </w:rPr>
              <w:t>叙事医学（Narrative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tcBorders>
              <w:bottom w:val="single" w:color="000000" w:sz="4" w:space="0"/>
            </w:tcBorders>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tcBorders>
              <w:bottom w:val="single" w:color="000000" w:sz="4" w:space="0"/>
            </w:tcBorders>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color w:val="auto"/>
              </w:rPr>
            </w:pPr>
            <w:r>
              <w:rPr>
                <w:rFonts w:hint="default" w:ascii="Times New Roman" w:hAnsi="Times New Roman" w:cs="Times New Roman"/>
              </w:rPr>
              <w:t>42715001</w:t>
            </w:r>
          </w:p>
        </w:tc>
        <w:tc>
          <w:tcPr>
            <w:tcW w:w="3240" w:type="dxa"/>
            <w:tcBorders>
              <w:bottom w:val="single" w:color="000000" w:sz="4" w:space="0"/>
            </w:tcBorders>
            <w:vAlign w:val="center"/>
          </w:tcPr>
          <w:p>
            <w:pPr>
              <w:pageBreakBefore w:val="0"/>
              <w:widowControl/>
              <w:kinsoku/>
              <w:wordWrap/>
              <w:overflowPunct/>
              <w:topLinePunct w:val="0"/>
              <w:autoSpaceDE/>
              <w:autoSpaceDN/>
              <w:bidi w:val="0"/>
              <w:snapToGrid w:val="0"/>
              <w:spacing w:beforeAutospacing="0" w:afterAutospacing="0" w:line="240" w:lineRule="auto"/>
              <w:ind w:left="0" w:leftChars="0" w:right="0" w:rightChars="0"/>
              <w:jc w:val="both"/>
              <w:textAlignment w:val="bottom"/>
              <w:rPr>
                <w:rFonts w:hint="default" w:ascii="Times New Roman" w:hAnsi="Times New Roman" w:cs="Times New Roman"/>
              </w:rPr>
            </w:pPr>
            <w:r>
              <w:rPr>
                <w:rFonts w:hint="default" w:ascii="Times New Roman" w:hAnsi="Times New Roman" w:cs="Times New Roman"/>
              </w:rPr>
              <w:t>老年医学（Geriatrics）</w:t>
            </w:r>
          </w:p>
        </w:tc>
        <w:tc>
          <w:tcPr>
            <w:tcW w:w="660" w:type="dxa"/>
            <w:tcBorders>
              <w:bottom w:val="single" w:color="000000" w:sz="4" w:space="0"/>
            </w:tcBorders>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rPr>
            </w:pPr>
            <w:r>
              <w:rPr>
                <w:rFonts w:hint="default" w:ascii="Times New Roman" w:hAnsi="Times New Roman" w:cs="Times New Roman"/>
              </w:rPr>
              <w:t>2</w:t>
            </w:r>
          </w:p>
          <w:p>
            <w:pPr>
              <w:pStyle w:val="2"/>
              <w:pageBreakBefore w:val="0"/>
              <w:kinsoku/>
              <w:wordWrap/>
              <w:overflowPunct/>
              <w:topLinePunct w:val="0"/>
              <w:autoSpaceDE/>
              <w:autoSpaceDN/>
              <w:bidi w:val="0"/>
              <w:snapToGrid w:val="0"/>
              <w:spacing w:beforeLines="0" w:beforeAutospacing="0" w:afterLines="0" w:afterAutospacing="0" w:line="240" w:lineRule="auto"/>
              <w:ind w:left="0" w:leftChars="0" w:right="0" w:rightChars="0" w:firstLine="422"/>
              <w:jc w:val="center"/>
              <w:rPr>
                <w:rFonts w:hint="default" w:ascii="Times New Roman" w:hAnsi="Times New Roman" w:cs="Times New Roman"/>
                <w:color w:val="auto"/>
              </w:rPr>
            </w:pPr>
          </w:p>
        </w:tc>
        <w:tc>
          <w:tcPr>
            <w:tcW w:w="690" w:type="dxa"/>
            <w:tcBorders>
              <w:bottom w:val="single" w:color="000000" w:sz="4" w:space="0"/>
            </w:tcBorders>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color w:val="auto"/>
              </w:rPr>
            </w:pPr>
            <w:r>
              <w:rPr>
                <w:rFonts w:hint="default" w:ascii="Times New Roman" w:hAnsi="Times New Roman" w:cs="Times New Roman"/>
              </w:rPr>
              <w:t>32</w:t>
            </w:r>
          </w:p>
        </w:tc>
        <w:tc>
          <w:tcPr>
            <w:tcW w:w="615" w:type="dxa"/>
            <w:tcBorders>
              <w:bottom w:val="single" w:color="000000" w:sz="4" w:space="0"/>
            </w:tcBorders>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color w:val="auto"/>
              </w:rPr>
            </w:pPr>
            <w:r>
              <w:rPr>
                <w:rFonts w:hint="default" w:ascii="Times New Roman" w:hAnsi="Times New Roman" w:cs="Times New Roman"/>
              </w:rPr>
              <w:t>32</w:t>
            </w:r>
          </w:p>
        </w:tc>
        <w:tc>
          <w:tcPr>
            <w:tcW w:w="660" w:type="dxa"/>
            <w:tcBorders>
              <w:bottom w:val="single" w:color="000000" w:sz="4" w:space="0"/>
            </w:tcBorders>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tcBorders>
              <w:bottom w:val="single" w:color="000000" w:sz="4" w:space="0"/>
            </w:tcBorders>
            <w:vAlign w:val="center"/>
          </w:tcPr>
          <w:p>
            <w:pPr>
              <w:pageBreakBefore w:val="0"/>
              <w:kinsoku/>
              <w:wordWrap/>
              <w:overflowPunct/>
              <w:topLinePunct w:val="0"/>
              <w:autoSpaceDE/>
              <w:autoSpaceDN/>
              <w:bidi w:val="0"/>
              <w:adjustRightInd w:val="0"/>
              <w:snapToGrid w:val="0"/>
              <w:spacing w:beforeAutospacing="0" w:afterAutospacing="0" w:line="240" w:lineRule="auto"/>
              <w:ind w:right="0" w:rightChars="0" w:firstLine="210" w:firstLineChars="100"/>
              <w:jc w:val="both"/>
              <w:rPr>
                <w:rFonts w:hint="default" w:ascii="Times New Roman" w:hAnsi="Times New Roman" w:cs="Times New Roman"/>
                <w:color w:val="auto"/>
              </w:rPr>
            </w:pPr>
            <w:r>
              <w:rPr>
                <w:rFonts w:hint="default" w:ascii="Times New Roman" w:hAnsi="Times New Roman" w:cs="Times New Roman"/>
              </w:rPr>
              <w:t>7</w:t>
            </w:r>
          </w:p>
        </w:tc>
        <w:tc>
          <w:tcPr>
            <w:tcW w:w="1176" w:type="dxa"/>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临床肿瘤与治疗模块</w:t>
            </w: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32715002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疼痛诊疗学（Pain therapeutics）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麻醉与围术期医学（Anesthesia and perioperative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32715004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核医学（Nuclear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6</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42715002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重症医学（Intensive medicine）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42715003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临床肿瘤学（Clinical Oncology）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4"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506"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42715004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放射治疗学（Radiation therapy）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7</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9"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restart"/>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拓展</w:t>
            </w:r>
          </w:p>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课程</w:t>
            </w: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21416001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医学发育生物学</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（Medical Development 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rPr>
              <w:t>2141600</w:t>
            </w:r>
            <w:r>
              <w:rPr>
                <w:rFonts w:hint="default" w:ascii="Times New Roman" w:hAnsi="Times New Roman" w:cs="Times New Roman"/>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R语言（R language）</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21416003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神经生物学（Neurobiology）</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21416004</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生物信息学（Bioinformatics）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4"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20716700</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lang w:eastAsia="zh-CN"/>
              </w:rPr>
            </w:pPr>
            <w:r>
              <w:rPr>
                <w:rFonts w:hint="default" w:ascii="Times New Roman" w:hAnsi="Times New Roman" w:cs="Times New Roman"/>
                <w:kern w:val="0"/>
                <w:szCs w:val="21"/>
                <w:lang w:eastAsia="zh-CN"/>
              </w:rPr>
              <w:t>生物应用材料</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lang w:eastAsia="zh-CN"/>
              </w:rPr>
              <w:t>（Bioapplied Materials）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48</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48</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化学化工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3</w:t>
            </w:r>
            <w:r>
              <w:rPr>
                <w:rFonts w:hint="default" w:ascii="Times New Roman" w:hAnsi="Times New Roman" w:cs="Times New Roman"/>
                <w:szCs w:val="21"/>
              </w:rPr>
              <w:t>141600</w:t>
            </w:r>
            <w:r>
              <w:rPr>
                <w:rFonts w:hint="default" w:ascii="Times New Roman" w:hAnsi="Times New Roman" w:cs="Times New Roman"/>
                <w:szCs w:val="21"/>
                <w:lang w:val="en-US" w:eastAsia="zh-CN"/>
              </w:rPr>
              <w:t>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分子生物学（</w:t>
            </w:r>
            <w:r>
              <w:rPr>
                <w:rFonts w:hint="default" w:ascii="Times New Roman" w:hAnsi="Times New Roman" w:cs="Times New Roman"/>
                <w:kern w:val="0"/>
                <w:szCs w:val="21"/>
                <w:lang w:eastAsia="zh-CN"/>
              </w:rPr>
              <w:t>Molecular Biology</w:t>
            </w:r>
            <w:r>
              <w:rPr>
                <w:rFonts w:hint="default" w:ascii="Times New Roman" w:hAnsi="Times New Roman" w:cs="Times New Roman"/>
                <w:kern w:val="0"/>
                <w:szCs w:val="21"/>
              </w:rPr>
              <w:t>）</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1.5</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24</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3</w:t>
            </w:r>
            <w:r>
              <w:rPr>
                <w:rFonts w:hint="default" w:ascii="Times New Roman" w:hAnsi="Times New Roman" w:cs="Times New Roman"/>
                <w:szCs w:val="21"/>
              </w:rPr>
              <w:t>141600</w:t>
            </w:r>
            <w:r>
              <w:rPr>
                <w:rFonts w:hint="default" w:ascii="Times New Roman" w:hAnsi="Times New Roman" w:cs="Times New Roman"/>
                <w:szCs w:val="21"/>
                <w:lang w:val="en-US" w:eastAsia="zh-CN"/>
              </w:rPr>
              <w:t>2</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 xml:space="preserve">分子生物学技术与疾病研究进展（Advances in </w:t>
            </w:r>
            <w:r>
              <w:rPr>
                <w:rFonts w:hint="default" w:ascii="Times New Roman" w:hAnsi="Times New Roman" w:cs="Times New Roman"/>
                <w:kern w:val="0"/>
                <w:szCs w:val="21"/>
                <w:lang w:eastAsia="zh-CN"/>
              </w:rPr>
              <w:t>Molecular Biology</w:t>
            </w:r>
            <w:r>
              <w:rPr>
                <w:rFonts w:hint="default" w:ascii="Times New Roman" w:hAnsi="Times New Roman" w:cs="Times New Roman"/>
                <w:kern w:val="0"/>
                <w:szCs w:val="21"/>
              </w:rPr>
              <w:t xml:space="preserve"> technology and diseases）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2</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32</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31</w:t>
            </w:r>
            <w:r>
              <w:rPr>
                <w:rFonts w:hint="default" w:ascii="Times New Roman" w:hAnsi="Times New Roman" w:cs="Times New Roman"/>
                <w:szCs w:val="21"/>
              </w:rPr>
              <w:t>41600</w:t>
            </w:r>
            <w:r>
              <w:rPr>
                <w:rFonts w:hint="default" w:ascii="Times New Roman" w:hAnsi="Times New Roman" w:cs="Times New Roman"/>
                <w:szCs w:val="21"/>
                <w:lang w:val="en-US" w:eastAsia="zh-CN"/>
              </w:rPr>
              <w:t>3</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干细胞的基础与临床应用（Basic and clinical application of stem cells）</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55" w:type="dxa"/>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750" w:type="dxa"/>
            <w:gridSpan w:val="2"/>
            <w:vMerge w:val="continue"/>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005"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32016001</w:t>
            </w:r>
          </w:p>
        </w:tc>
        <w:tc>
          <w:tcPr>
            <w:tcW w:w="3240" w:type="dxa"/>
            <w:vAlign w:val="center"/>
          </w:tcPr>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医学信息检索与利用</w:t>
            </w:r>
          </w:p>
          <w:p>
            <w:pPr>
              <w:pageBreakBefore w:val="0"/>
              <w:kinsoku/>
              <w:wordWrap/>
              <w:overflowPunct/>
              <w:topLinePunct w:val="0"/>
              <w:autoSpaceDE/>
              <w:autoSpaceDN/>
              <w:bidi w:val="0"/>
              <w:snapToGrid w:val="0"/>
              <w:spacing w:beforeAutospacing="0" w:afterAutospacing="0" w:line="240" w:lineRule="auto"/>
              <w:ind w:left="0" w:leftChars="0" w:right="0" w:rightChars="0"/>
              <w:jc w:val="both"/>
              <w:rPr>
                <w:rFonts w:hint="default" w:ascii="Times New Roman" w:hAnsi="Times New Roman" w:cs="Times New Roman"/>
                <w:kern w:val="0"/>
                <w:szCs w:val="21"/>
              </w:rPr>
            </w:pPr>
            <w:r>
              <w:rPr>
                <w:rFonts w:hint="default" w:ascii="Times New Roman" w:hAnsi="Times New Roman" w:cs="Times New Roman"/>
                <w:kern w:val="0"/>
                <w:szCs w:val="21"/>
              </w:rPr>
              <w:t>（Medical Information Retrieval and Utilization）</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w:t>
            </w:r>
          </w:p>
        </w:tc>
        <w:tc>
          <w:tcPr>
            <w:tcW w:w="69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16</w:t>
            </w:r>
          </w:p>
        </w:tc>
        <w:tc>
          <w:tcPr>
            <w:tcW w:w="615"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6</w:t>
            </w:r>
          </w:p>
        </w:tc>
        <w:tc>
          <w:tcPr>
            <w:tcW w:w="66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10</w:t>
            </w:r>
          </w:p>
        </w:tc>
        <w:tc>
          <w:tcPr>
            <w:tcW w:w="570" w:type="dxa"/>
            <w:vAlign w:val="center"/>
          </w:tcPr>
          <w:p>
            <w:pPr>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105" w:firstLineChars="50"/>
              <w:jc w:val="center"/>
              <w:rPr>
                <w:rFonts w:hint="default" w:ascii="Times New Roman" w:hAnsi="Times New Roman" w:cs="Times New Roman"/>
                <w:szCs w:val="21"/>
              </w:rPr>
            </w:pPr>
            <w:r>
              <w:rPr>
                <w:rFonts w:hint="default" w:ascii="Times New Roman" w:hAnsi="Times New Roman" w:cs="Times New Roman"/>
                <w:szCs w:val="21"/>
              </w:rPr>
              <w:t>5</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图书馆</w:t>
            </w:r>
          </w:p>
        </w:tc>
      </w:tr>
    </w:tbl>
    <w:p>
      <w:pPr>
        <w:pageBreakBefore w:val="0"/>
        <w:widowControl w:val="0"/>
        <w:numPr>
          <w:ilvl w:val="0"/>
          <w:numId w:val="0"/>
        </w:numPr>
        <w:kinsoku/>
        <w:wordWrap/>
        <w:overflowPunct/>
        <w:topLinePunct w:val="0"/>
        <w:autoSpaceDE w:val="0"/>
        <w:autoSpaceDN w:val="0"/>
        <w:bidi w:val="0"/>
        <w:adjustRightInd w:val="0"/>
        <w:snapToGrid w:val="0"/>
        <w:spacing w:before="81" w:beforeLines="25" w:beforeAutospacing="0" w:after="81" w:afterLines="25" w:afterAutospacing="0" w:line="300" w:lineRule="auto"/>
        <w:ind w:leftChars="200" w:right="0" w:rightChars="0"/>
        <w:jc w:val="both"/>
        <w:textAlignment w:val="auto"/>
        <w:outlineLvl w:val="2"/>
        <w:rPr>
          <w:rFonts w:hint="default" w:ascii="Times New Roman" w:hAnsi="Times New Roman" w:cs="Times New Roman"/>
          <w:b/>
          <w:bCs/>
          <w:szCs w:val="21"/>
        </w:rPr>
      </w:pPr>
      <w:bookmarkStart w:id="53" w:name="_Toc14124"/>
      <w:bookmarkStart w:id="54" w:name="_Toc19915"/>
      <w:bookmarkStart w:id="55" w:name="_Toc5097"/>
      <w:r>
        <w:rPr>
          <w:rFonts w:hint="eastAsia" w:ascii="Times New Roman" w:hAnsi="Times New Roman" w:cs="Times New Roman"/>
          <w:b/>
          <w:bCs/>
          <w:szCs w:val="21"/>
          <w:lang w:eastAsia="zh-CN"/>
        </w:rPr>
        <w:t>（</w:t>
      </w:r>
      <w:r>
        <w:rPr>
          <w:rFonts w:hint="eastAsia" w:ascii="Times New Roman" w:hAnsi="Times New Roman" w:cs="Times New Roman"/>
          <w:b/>
          <w:bCs/>
          <w:szCs w:val="21"/>
          <w:lang w:val="en-US" w:eastAsia="zh-CN"/>
        </w:rPr>
        <w:t>三</w:t>
      </w:r>
      <w:r>
        <w:rPr>
          <w:rFonts w:hint="eastAsia" w:ascii="Times New Roman" w:hAnsi="Times New Roman" w:cs="Times New Roman"/>
          <w:b/>
          <w:bCs/>
          <w:szCs w:val="21"/>
          <w:lang w:eastAsia="zh-CN"/>
        </w:rPr>
        <w:t>）</w:t>
      </w:r>
      <w:r>
        <w:rPr>
          <w:rFonts w:hint="default" w:ascii="Times New Roman" w:hAnsi="Times New Roman" w:cs="Times New Roman"/>
          <w:b/>
          <w:bCs/>
          <w:szCs w:val="21"/>
        </w:rPr>
        <w:t>实践教学环节（必修38学分）</w:t>
      </w:r>
      <w:bookmarkEnd w:id="53"/>
      <w:bookmarkEnd w:id="54"/>
      <w:bookmarkEnd w:id="55"/>
      <w:bookmarkStart w:id="56" w:name="_Hlk109469419"/>
    </w:p>
    <w:p>
      <w:pPr>
        <w:pStyle w:val="2"/>
        <w:pageBreakBefore w:val="0"/>
        <w:widowControl w:val="0"/>
        <w:kinsoku/>
        <w:wordWrap/>
        <w:overflowPunct/>
        <w:topLinePunct w:val="0"/>
        <w:bidi w:val="0"/>
        <w:adjustRightInd w:val="0"/>
        <w:snapToGrid w:val="0"/>
        <w:spacing w:before="81" w:beforeLines="25" w:beforeAutospacing="0" w:after="81" w:afterLines="25" w:afterAutospacing="0" w:line="300" w:lineRule="auto"/>
        <w:ind w:left="0" w:leftChars="0" w:right="0" w:rightChars="0" w:firstLine="420" w:firstLineChars="200"/>
        <w:jc w:val="both"/>
        <w:textAlignment w:val="auto"/>
        <w:rPr>
          <w:rFonts w:hint="default" w:ascii="Times New Roman" w:hAnsi="Times New Roman" w:cs="Times New Roman"/>
          <w:color w:val="auto"/>
        </w:rPr>
      </w:pPr>
      <w:bookmarkStart w:id="57" w:name="_Toc23088"/>
      <w:bookmarkStart w:id="58" w:name="_Toc15396"/>
      <w:bookmarkStart w:id="59" w:name="_Toc5303"/>
      <w:r>
        <w:rPr>
          <w:rFonts w:hint="default" w:ascii="Times New Roman" w:hAnsi="Times New Roman" w:cs="Times New Roman"/>
          <w:b w:val="0"/>
          <w:bCs w:val="0"/>
          <w:color w:val="auto"/>
          <w:kern w:val="2"/>
          <w:szCs w:val="21"/>
        </w:rPr>
        <w:t>修读要求：实践教学环节需修满38学分（其中公共基础实践8学分，专业综合实践30学分）。</w:t>
      </w:r>
      <w:bookmarkEnd w:id="57"/>
      <w:bookmarkEnd w:id="58"/>
      <w:bookmarkEnd w:id="59"/>
    </w:p>
    <w:bookmarkEnd w:id="56"/>
    <w:tbl>
      <w:tblPr>
        <w:tblStyle w:val="4"/>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9"/>
        <w:gridCol w:w="750"/>
        <w:gridCol w:w="1005"/>
        <w:gridCol w:w="4217"/>
        <w:gridCol w:w="577"/>
        <w:gridCol w:w="693"/>
        <w:gridCol w:w="93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tblHeader/>
          <w:jc w:val="center"/>
        </w:trPr>
        <w:tc>
          <w:tcPr>
            <w:tcW w:w="1299" w:type="dxa"/>
            <w:gridSpan w:val="2"/>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类别</w:t>
            </w: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课程代码</w:t>
            </w:r>
          </w:p>
        </w:tc>
        <w:tc>
          <w:tcPr>
            <w:tcW w:w="4217"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课程名称</w:t>
            </w:r>
          </w:p>
        </w:tc>
        <w:tc>
          <w:tcPr>
            <w:tcW w:w="577"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分</w:t>
            </w:r>
          </w:p>
        </w:tc>
        <w:tc>
          <w:tcPr>
            <w:tcW w:w="69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总</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周</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数</w:t>
            </w:r>
          </w:p>
        </w:tc>
        <w:tc>
          <w:tcPr>
            <w:tcW w:w="933"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学期</w:t>
            </w:r>
          </w:p>
        </w:tc>
        <w:tc>
          <w:tcPr>
            <w:tcW w:w="1197"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开课</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教学</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环节</w:t>
            </w:r>
          </w:p>
        </w:tc>
        <w:tc>
          <w:tcPr>
            <w:tcW w:w="750"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公共</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基础</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12517001</w:t>
            </w:r>
          </w:p>
        </w:tc>
        <w:tc>
          <w:tcPr>
            <w:tcW w:w="4217"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入学教育与军事技能（</w:t>
            </w:r>
            <w:r>
              <w:rPr>
                <w:rFonts w:hint="default" w:ascii="Times New Roman" w:hAnsi="Times New Roman" w:cs="Times New Roman"/>
                <w:kern w:val="0"/>
                <w:szCs w:val="21"/>
                <w:lang w:eastAsia="zh-CN"/>
              </w:rPr>
              <w:t>New Student Orientation and Military Training</w:t>
            </w:r>
            <w:r>
              <w:rPr>
                <w:rFonts w:hint="default" w:ascii="Times New Roman" w:hAnsi="Times New Roman" w:cs="Times New Roman"/>
                <w:kern w:val="0"/>
                <w:szCs w:val="21"/>
              </w:rPr>
              <w:t>）</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12417001</w:t>
            </w:r>
          </w:p>
        </w:tc>
        <w:tc>
          <w:tcPr>
            <w:tcW w:w="4217"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第二课堂（</w:t>
            </w:r>
            <w:r>
              <w:rPr>
                <w:rFonts w:hint="default" w:ascii="Times New Roman" w:hAnsi="Times New Roman" w:cs="Times New Roman"/>
                <w:kern w:val="0"/>
                <w:szCs w:val="21"/>
                <w:lang w:eastAsia="zh-CN"/>
              </w:rPr>
              <w:t>Extracurricular Activities</w:t>
            </w:r>
            <w:r>
              <w:rPr>
                <w:rFonts w:hint="default" w:ascii="Times New Roman" w:hAnsi="Times New Roman" w:cs="Times New Roman"/>
                <w:kern w:val="0"/>
                <w:szCs w:val="21"/>
              </w:rPr>
              <w:t>）</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1-10</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widowControl/>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11817001</w:t>
            </w:r>
          </w:p>
        </w:tc>
        <w:tc>
          <w:tcPr>
            <w:tcW w:w="4217"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思想政治理论课综合实践（</w:t>
            </w:r>
            <w:r>
              <w:rPr>
                <w:rFonts w:hint="default" w:ascii="Times New Roman" w:hAnsi="Times New Roman" w:cs="Times New Roman"/>
                <w:kern w:val="0"/>
                <w:szCs w:val="21"/>
                <w:lang w:eastAsia="zh-CN"/>
              </w:rPr>
              <w:t>Comprehensive Practice of the Courses on Ideological and Political Theories</w:t>
            </w:r>
            <w:r>
              <w:rPr>
                <w:rFonts w:hint="default" w:ascii="Times New Roman" w:hAnsi="Times New Roman" w:cs="Times New Roman"/>
                <w:kern w:val="0"/>
                <w:szCs w:val="21"/>
              </w:rPr>
              <w:t xml:space="preserve"> ）</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4暑假</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restart"/>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专业</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综合</w:t>
            </w:r>
          </w:p>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实践</w:t>
            </w: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11418002</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医疗服务（Medical services）</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2暑假</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31418003</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社区实践（Communities of practice）</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6暑假</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42718003</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临床医学专业强化实习（Clinical medicine specialty intensive practice）</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52718003</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临床医学专业毕业实习（</w:t>
            </w:r>
            <w:r>
              <w:rPr>
                <w:rFonts w:hint="default" w:ascii="Times New Roman" w:hAnsi="Times New Roman" w:cs="Times New Roman"/>
                <w:kern w:val="0"/>
                <w:szCs w:val="21"/>
                <w:lang w:eastAsia="zh-CN"/>
              </w:rPr>
              <w:t>Graduate Practice of Clinical Medicine Major</w:t>
            </w:r>
            <w:r>
              <w:rPr>
                <w:rFonts w:hint="default" w:ascii="Times New Roman" w:hAnsi="Times New Roman" w:cs="Times New Roman"/>
                <w:kern w:val="0"/>
                <w:szCs w:val="21"/>
              </w:rPr>
              <w:t>）</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24</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48</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8,9,10</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31418004</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临床医学专业基础综合考核（Basic comprehensive assessment of clinical medicine specialty）</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6</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42718004</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临床医学专业临床综合考核（Clinical comprehensive assessment of clinical medicine specialty）</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8</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549"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750" w:type="dxa"/>
            <w:vMerge w:val="continue"/>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p>
        </w:tc>
        <w:tc>
          <w:tcPr>
            <w:tcW w:w="1005" w:type="dxa"/>
            <w:vAlign w:val="center"/>
          </w:tcPr>
          <w:p>
            <w:pPr>
              <w:keepNext w:val="0"/>
              <w:keepLines w:val="0"/>
              <w:pageBreakBefore w:val="0"/>
              <w:kinsoku/>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szCs w:val="21"/>
              </w:rPr>
            </w:pPr>
            <w:r>
              <w:rPr>
                <w:rFonts w:hint="default" w:ascii="Times New Roman" w:hAnsi="Times New Roman" w:cs="Times New Roman"/>
                <w:szCs w:val="21"/>
              </w:rPr>
              <w:t>52718004</w:t>
            </w:r>
          </w:p>
        </w:tc>
        <w:tc>
          <w:tcPr>
            <w:tcW w:w="421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firstLine="0" w:firstLineChars="0"/>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临床医学专业毕业考核（Graduation examination of clinical medicine specialty）</w:t>
            </w:r>
          </w:p>
        </w:tc>
        <w:tc>
          <w:tcPr>
            <w:tcW w:w="577"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69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933" w:type="dxa"/>
            <w:vAlign w:val="center"/>
          </w:tcPr>
          <w:p>
            <w:pPr>
              <w:keepNext w:val="0"/>
              <w:keepLines w:val="0"/>
              <w:pageBreakBefore w:val="0"/>
              <w:widowControl/>
              <w:kinsoku/>
              <w:wordWrap w:val="0"/>
              <w:overflowPunct/>
              <w:topLinePunct w:val="0"/>
              <w:autoSpaceDE/>
              <w:autoSpaceDN/>
              <w:bidi w:val="0"/>
              <w:snapToGrid w:val="0"/>
              <w:spacing w:beforeAutospacing="0" w:afterAutospacing="0" w:line="240" w:lineRule="auto"/>
              <w:ind w:left="0" w:leftChars="0" w:right="0" w:rightChars="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10</w:t>
            </w:r>
          </w:p>
        </w:tc>
        <w:tc>
          <w:tcPr>
            <w:tcW w:w="1197" w:type="dxa"/>
            <w:vAlign w:val="center"/>
          </w:tcPr>
          <w:p>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eastAsia="zh-CN"/>
              </w:rPr>
              <w:t>医学院第一附属医院</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sz w:val="28"/>
          <w:szCs w:val="28"/>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60" w:name="_Toc5559"/>
      <w:r>
        <w:rPr>
          <w:rFonts w:hint="default" w:ascii="Times New Roman" w:hAnsi="Times New Roman" w:cs="Times New Roman"/>
          <w:b/>
          <w:bCs/>
          <w:sz w:val="24"/>
          <w:lang w:val="en-US" w:eastAsia="zh-CN"/>
        </w:rPr>
        <w:t>六</w:t>
      </w:r>
      <w:r>
        <w:rPr>
          <w:rFonts w:hint="default" w:ascii="Times New Roman" w:hAnsi="Times New Roman" w:cs="Times New Roman"/>
          <w:b/>
          <w:bCs/>
          <w:sz w:val="24"/>
        </w:rPr>
        <w:t>、全学程学分学时分配表</w:t>
      </w:r>
      <w:bookmarkEnd w:id="60"/>
    </w:p>
    <w:tbl>
      <w:tblPr>
        <w:tblStyle w:val="4"/>
        <w:tblW w:w="9921" w:type="dxa"/>
        <w:jc w:val="center"/>
        <w:tblInd w:w="0" w:type="dxa"/>
        <w:tblLayout w:type="fixed"/>
        <w:tblCellMar>
          <w:top w:w="0" w:type="dxa"/>
          <w:left w:w="108" w:type="dxa"/>
          <w:bottom w:w="0" w:type="dxa"/>
          <w:right w:w="108" w:type="dxa"/>
        </w:tblCellMar>
      </w:tblPr>
      <w:tblGrid>
        <w:gridCol w:w="1143"/>
        <w:gridCol w:w="586"/>
        <w:gridCol w:w="586"/>
        <w:gridCol w:w="586"/>
        <w:gridCol w:w="586"/>
        <w:gridCol w:w="586"/>
        <w:gridCol w:w="586"/>
        <w:gridCol w:w="586"/>
        <w:gridCol w:w="586"/>
        <w:gridCol w:w="586"/>
        <w:gridCol w:w="586"/>
        <w:gridCol w:w="586"/>
        <w:gridCol w:w="586"/>
        <w:gridCol w:w="597"/>
        <w:gridCol w:w="1149"/>
      </w:tblGrid>
      <w:tr>
        <w:tblPrEx>
          <w:tblLayout w:type="fixed"/>
          <w:tblCellMar>
            <w:top w:w="0" w:type="dxa"/>
            <w:left w:w="108" w:type="dxa"/>
            <w:bottom w:w="0" w:type="dxa"/>
            <w:right w:w="108" w:type="dxa"/>
          </w:tblCellMar>
        </w:tblPrEx>
        <w:trPr>
          <w:trHeight w:val="397" w:hRule="atLeast"/>
          <w:jc w:val="center"/>
        </w:trPr>
        <w:tc>
          <w:tcPr>
            <w:tcW w:w="1143" w:type="dxa"/>
            <w:vMerge w:val="restart"/>
            <w:tcBorders>
              <w:top w:val="single" w:color="000000" w:sz="4" w:space="0"/>
              <w:left w:val="single" w:color="000000" w:sz="4" w:space="0"/>
              <w:bottom w:val="single" w:color="000000" w:sz="4" w:space="0"/>
              <w:right w:val="single" w:color="000000" w:sz="4" w:space="0"/>
            </w:tcBorders>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105" w:rightChars="-50"/>
              <w:jc w:val="both"/>
              <w:textAlignment w:val="center"/>
              <w:rPr>
                <w:rFonts w:hint="default"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firstLine="211" w:firstLineChars="100"/>
              <w:jc w:val="center"/>
              <w:textAlignment w:val="center"/>
              <mc:AlternateContent>
                <mc:Choice Requires="wpsCustomData">
                  <wpsCustomData:diagonalParaType/>
                </mc:Choice>
              </mc:AlternateContent>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lang w:val="en-US" w:eastAsia="zh-CN"/>
              </w:rPr>
              <w:t>学期</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color w:val="auto"/>
                <w:kern w:val="0"/>
                <w:sz w:val="21"/>
                <w:szCs w:val="21"/>
                <w:lang w:val="en-US" w:eastAsia="zh-CN" w:bidi="ar"/>
              </w:rPr>
            </w:pP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105" w:rightChars="-50"/>
              <w:jc w:val="right"/>
              <w:textAlignment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color w:val="auto"/>
                <w:kern w:val="0"/>
                <w:sz w:val="21"/>
                <w:szCs w:val="21"/>
                <w:lang w:val="en-US" w:eastAsia="zh-CN" w:bidi="ar"/>
              </w:rPr>
              <w:t>课程</w:t>
            </w:r>
          </w:p>
        </w:tc>
        <w:tc>
          <w:tcPr>
            <w:tcW w:w="23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通识必修课程</w:t>
            </w:r>
          </w:p>
        </w:tc>
        <w:tc>
          <w:tcPr>
            <w:tcW w:w="1172"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通识选修课程指导性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72"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专业必修</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课程</w:t>
            </w:r>
          </w:p>
        </w:tc>
        <w:tc>
          <w:tcPr>
            <w:tcW w:w="1172"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专业选修课程指导性</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建议</w:t>
            </w:r>
          </w:p>
        </w:tc>
        <w:tc>
          <w:tcPr>
            <w:tcW w:w="1172"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实践教学</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环节</w:t>
            </w:r>
          </w:p>
        </w:tc>
        <w:tc>
          <w:tcPr>
            <w:tcW w:w="1746"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小计</w:t>
            </w:r>
          </w:p>
        </w:tc>
      </w:tr>
      <w:tr>
        <w:tblPrEx>
          <w:tblLayout w:type="fixed"/>
          <w:tblCellMar>
            <w:top w:w="0" w:type="dxa"/>
            <w:left w:w="108" w:type="dxa"/>
            <w:bottom w:w="0" w:type="dxa"/>
            <w:right w:w="108" w:type="dxa"/>
          </w:tblCellMar>
        </w:tblPrEx>
        <w:trPr>
          <w:trHeight w:val="397"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学期已确定课程</w:t>
            </w:r>
          </w:p>
        </w:tc>
        <w:tc>
          <w:tcPr>
            <w:tcW w:w="117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kern w:val="0"/>
                <w:szCs w:val="21"/>
              </w:rPr>
            </w:pPr>
            <w:r>
              <w:rPr>
                <w:rFonts w:hint="default" w:ascii="Times New Roman" w:hAnsi="Times New Roman" w:cs="Times New Roman"/>
                <w:b/>
                <w:bCs/>
                <w:kern w:val="0"/>
                <w:szCs w:val="21"/>
              </w:rPr>
              <w:t>学期未确定</w:t>
            </w:r>
            <w:r>
              <w:rPr>
                <w:rFonts w:hint="default" w:ascii="Times New Roman" w:hAnsi="Times New Roman" w:cs="Times New Roman"/>
                <w:b/>
                <w:bCs/>
                <w:szCs w:val="21"/>
              </w:rPr>
              <w:t>课程</w:t>
            </w:r>
            <w:r>
              <w:rPr>
                <w:rFonts w:hint="default" w:ascii="Times New Roman" w:hAnsi="Times New Roman" w:cs="Times New Roman"/>
                <w:b/>
                <w:bCs/>
                <w:kern w:val="0"/>
                <w:szCs w:val="21"/>
              </w:rPr>
              <w:t>指导</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性建议</w:t>
            </w:r>
          </w:p>
        </w:tc>
        <w:tc>
          <w:tcPr>
            <w:tcW w:w="117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7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7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17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1746"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r>
      <w:tr>
        <w:tblPrEx>
          <w:tblLayout w:type="fixed"/>
          <w:tblCellMar>
            <w:top w:w="0" w:type="dxa"/>
            <w:left w:w="108" w:type="dxa"/>
            <w:bottom w:w="0" w:type="dxa"/>
            <w:right w:w="108" w:type="dxa"/>
          </w:tblCellMar>
        </w:tblPrEx>
        <w:trPr>
          <w:trHeight w:val="397" w:hRule="atLeast"/>
          <w:jc w:val="center"/>
        </w:trPr>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b/>
                <w:bCs/>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周数</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学分</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rPr>
              <w:t>学时＋周数</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第一学期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12.75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388+2周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第二学期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17</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272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33</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520+2周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第三学期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94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17.5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280</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30</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486</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szCs w:val="21"/>
              </w:rPr>
            </w:pPr>
            <w:r>
              <w:rPr>
                <w:rFonts w:hint="default" w:ascii="Times New Roman" w:hAnsi="Times New Roman" w:cs="Times New Roman"/>
                <w:kern w:val="0"/>
                <w:szCs w:val="21"/>
              </w:rPr>
              <w:t>第四学期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288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29.5</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472+2周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第五学期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6.75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108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33</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508</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第六学期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376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31</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464+3周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第七学期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0.25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21</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352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56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26</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bidi="ar"/>
              </w:rPr>
              <w:t>410</w:t>
            </w:r>
            <w:r>
              <w:rPr>
                <w:rFonts w:hint="default" w:ascii="Times New Roman" w:hAnsi="Times New Roman" w:cs="Times New Roman"/>
                <w:kern w:val="0"/>
                <w:szCs w:val="21"/>
                <w:lang w:val="en-US" w:eastAsia="zh-CN" w:bidi="ar"/>
              </w:rPr>
              <w:t>+0周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第八学期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13</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15</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224+3周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rPr>
              <w:t>第九十学期</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105" w:leftChars="-50" w:right="-105" w:rightChars="-50"/>
              <w:jc w:val="center"/>
              <w:rPr>
                <w:rFonts w:hint="default" w:ascii="Times New Roman" w:hAnsi="Times New Roman" w:cs="Times New Roman"/>
                <w:kern w:val="0"/>
                <w:szCs w:val="21"/>
              </w:rPr>
            </w:pP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49</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25</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bidi="ar"/>
              </w:rPr>
              <w:t>0+</w:t>
            </w:r>
            <w:r>
              <w:rPr>
                <w:rFonts w:hint="default" w:ascii="Times New Roman" w:hAnsi="Times New Roman" w:cs="Times New Roman"/>
                <w:kern w:val="0"/>
                <w:szCs w:val="21"/>
                <w:lang w:bidi="ar"/>
              </w:rPr>
              <w:t>49周</w:t>
            </w:r>
          </w:p>
        </w:tc>
      </w:tr>
      <w:tr>
        <w:tblPrEx>
          <w:tblLayout w:type="fixed"/>
          <w:tblCellMar>
            <w:top w:w="0" w:type="dxa"/>
            <w:left w:w="108" w:type="dxa"/>
            <w:bottom w:w="0" w:type="dxa"/>
            <w:right w:w="108" w:type="dxa"/>
          </w:tblCellMar>
        </w:tblPrEx>
        <w:trPr>
          <w:trHeight w:val="397" w:hRule="atLeast"/>
          <w:jc w:val="center"/>
        </w:trPr>
        <w:tc>
          <w:tcPr>
            <w:tcW w:w="11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b w:val="0"/>
                <w:bCs w:val="0"/>
                <w:kern w:val="0"/>
                <w:szCs w:val="21"/>
              </w:rPr>
              <w:t>合计</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43.5</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736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160</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7</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112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142</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2304</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10</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160</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38</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61</w:t>
            </w:r>
          </w:p>
        </w:tc>
        <w:tc>
          <w:tcPr>
            <w:tcW w:w="5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246.5</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105" w:leftChars="-50" w:right="-105" w:rightChars="-50"/>
              <w:jc w:val="center"/>
              <w:textAlignment w:val="center"/>
              <w:rPr>
                <w:rFonts w:hint="default" w:ascii="Times New Roman" w:hAnsi="Times New Roman" w:cs="Times New Roman"/>
                <w:kern w:val="0"/>
                <w:szCs w:val="21"/>
              </w:rPr>
            </w:pPr>
            <w:r>
              <w:rPr>
                <w:rFonts w:hint="default" w:ascii="Times New Roman" w:hAnsi="Times New Roman" w:cs="Times New Roman"/>
                <w:kern w:val="0"/>
                <w:szCs w:val="21"/>
                <w:lang w:bidi="ar"/>
              </w:rPr>
              <w:t>3472+61周</w:t>
            </w:r>
          </w:p>
        </w:tc>
      </w:tr>
    </w:tbl>
    <w:p>
      <w:pPr>
        <w:pageBreakBefore w:val="0"/>
        <w:kinsoku/>
        <w:overflowPunct/>
        <w:topLinePunct w:val="0"/>
        <w:bidi w:val="0"/>
        <w:adjustRightInd w:val="0"/>
        <w:snapToGrid w:val="0"/>
        <w:spacing w:before="81" w:beforeLines="25" w:beforeAutospacing="0" w:after="81" w:afterLines="25" w:afterAutospacing="0" w:line="300" w:lineRule="auto"/>
        <w:ind w:left="0" w:leftChars="0" w:right="0" w:rightChars="0"/>
        <w:jc w:val="both"/>
        <w:rPr>
          <w:rFonts w:hint="default" w:ascii="Times New Roman" w:hAnsi="Times New Roman" w:cs="Times New Roman"/>
          <w:sz w:val="28"/>
          <w:szCs w:val="28"/>
        </w:rPr>
        <w:sectPr>
          <w:pgSz w:w="11906" w:h="16838"/>
          <w:pgMar w:top="1701" w:right="1531" w:bottom="1417" w:left="153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val="0"/>
        <w:autoSpaceDN w:val="0"/>
        <w:bidi w:val="0"/>
        <w:adjustRightInd w:val="0"/>
        <w:snapToGrid w:val="0"/>
        <w:spacing w:before="161" w:beforeLines="50" w:beforeAutospacing="0" w:after="161" w:afterLines="50" w:afterAutospacing="0" w:line="300" w:lineRule="auto"/>
        <w:ind w:left="0" w:leftChars="0" w:right="0" w:rightChars="0"/>
        <w:jc w:val="both"/>
        <w:textAlignment w:val="auto"/>
        <w:outlineLvl w:val="1"/>
        <w:rPr>
          <w:rFonts w:hint="default" w:ascii="Times New Roman" w:hAnsi="Times New Roman" w:cs="Times New Roman"/>
          <w:b/>
          <w:bCs/>
          <w:sz w:val="24"/>
        </w:rPr>
      </w:pPr>
      <w:bookmarkStart w:id="61" w:name="_Toc1592"/>
      <w:r>
        <w:rPr>
          <w:rFonts w:hint="default" w:ascii="Times New Roman" w:hAnsi="Times New Roman" w:cs="Times New Roman"/>
          <w:b/>
          <w:bCs/>
          <w:sz w:val="24"/>
          <w:lang w:val="en-US" w:eastAsia="zh-CN"/>
        </w:rPr>
        <w:t>七</w:t>
      </w:r>
      <w:r>
        <w:rPr>
          <w:rFonts w:hint="default" w:ascii="Times New Roman" w:hAnsi="Times New Roman" w:cs="Times New Roman"/>
          <w:b/>
          <w:bCs/>
          <w:sz w:val="24"/>
        </w:rPr>
        <w:t>、各教学环节最低学分、学时分配表</w:t>
      </w:r>
      <w:bookmarkEnd w:id="61"/>
    </w:p>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62" w:name="_Toc8418"/>
      <w:r>
        <w:rPr>
          <w:rFonts w:hint="default" w:ascii="Times New Roman" w:hAnsi="Times New Roman" w:cs="Times New Roman"/>
          <w:b/>
          <w:bCs/>
          <w:szCs w:val="21"/>
        </w:rPr>
        <w:t>（一）各课程类别学分数及学分比例</w:t>
      </w:r>
      <w:bookmarkEnd w:id="62"/>
    </w:p>
    <w:tbl>
      <w:tblPr>
        <w:tblStyle w:val="4"/>
        <w:tblW w:w="992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0"/>
        <w:gridCol w:w="2457"/>
        <w:gridCol w:w="1378"/>
        <w:gridCol w:w="1377"/>
        <w:gridCol w:w="1378"/>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课程类别</w:t>
            </w:r>
          </w:p>
        </w:tc>
        <w:tc>
          <w:tcPr>
            <w:tcW w:w="5514" w:type="dxa"/>
            <w:gridSpan w:val="4"/>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学分及比例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4407"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学分</w:t>
            </w:r>
          </w:p>
        </w:tc>
        <w:tc>
          <w:tcPr>
            <w:tcW w:w="137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c>
          <w:tcPr>
            <w:tcW w:w="1378"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小计</w:t>
            </w:r>
          </w:p>
        </w:tc>
        <w:tc>
          <w:tcPr>
            <w:tcW w:w="1381"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占总学分</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b/>
                <w:szCs w:val="21"/>
              </w:rPr>
            </w:pPr>
            <w:r>
              <w:rPr>
                <w:rFonts w:hint="default" w:ascii="Times New Roman" w:hAnsi="Times New Roman" w:cs="Times New Roman"/>
                <w:b/>
                <w:szCs w:val="21"/>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通识教育课程</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通识必修课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49.5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20.1 %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56.5</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通识选修课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7</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2.8 %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专业教育课程</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专业基础课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kern w:val="0"/>
                <w:szCs w:val="21"/>
                <w:lang w:bidi="ar"/>
              </w:rPr>
              <w:t>3</w:t>
            </w:r>
            <w:r>
              <w:rPr>
                <w:rFonts w:hint="default" w:ascii="Times New Roman" w:hAnsi="Times New Roman" w:cs="Times New Roman"/>
                <w:kern w:val="0"/>
                <w:szCs w:val="21"/>
                <w:lang w:val="en-US" w:eastAsia="zh-CN"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w:t>
            </w:r>
            <w:r>
              <w:rPr>
                <w:rFonts w:hint="default" w:ascii="Times New Roman" w:hAnsi="Times New Roman" w:cs="Times New Roman"/>
                <w:kern w:val="0"/>
                <w:szCs w:val="21"/>
                <w:lang w:val="en-US" w:eastAsia="zh-CN" w:bidi="ar"/>
              </w:rPr>
              <w:t>4</w:t>
            </w:r>
            <w:r>
              <w:rPr>
                <w:rFonts w:hint="default" w:ascii="Times New Roman" w:hAnsi="Times New Roman" w:cs="Times New Roman"/>
                <w:kern w:val="0"/>
                <w:szCs w:val="21"/>
                <w:lang w:bidi="ar"/>
              </w:rPr>
              <w:t xml:space="preserve">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152</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61.7 %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专业核心课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eastAsia="宋体" w:cs="Times New Roman"/>
                <w:szCs w:val="21"/>
                <w:lang w:eastAsia="zh-CN"/>
              </w:rPr>
            </w:pPr>
            <w:r>
              <w:rPr>
                <w:rFonts w:hint="default" w:ascii="Times New Roman" w:hAnsi="Times New Roman" w:cs="Times New Roman"/>
                <w:kern w:val="0"/>
                <w:szCs w:val="21"/>
                <w:lang w:bidi="ar"/>
              </w:rPr>
              <w:t>10</w:t>
            </w:r>
            <w:r>
              <w:rPr>
                <w:rFonts w:hint="default" w:ascii="Times New Roman" w:hAnsi="Times New Roman" w:cs="Times New Roman"/>
                <w:kern w:val="0"/>
                <w:szCs w:val="21"/>
                <w:lang w:val="en-US" w:eastAsia="zh-CN" w:bidi="ar"/>
              </w:rPr>
              <w:t>4</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w:t>
            </w:r>
            <w:r>
              <w:rPr>
                <w:rFonts w:hint="default" w:ascii="Times New Roman" w:hAnsi="Times New Roman" w:cs="Times New Roman"/>
                <w:kern w:val="0"/>
                <w:szCs w:val="21"/>
                <w:lang w:val="en-US" w:eastAsia="zh-CN" w:bidi="ar"/>
              </w:rPr>
              <w:t>2</w:t>
            </w:r>
            <w:r>
              <w:rPr>
                <w:rFonts w:hint="default" w:ascii="Times New Roman" w:hAnsi="Times New Roman" w:cs="Times New Roman"/>
                <w:kern w:val="0"/>
                <w:szCs w:val="21"/>
                <w:lang w:bidi="ar"/>
              </w:rPr>
              <w:t>.</w:t>
            </w:r>
            <w:r>
              <w:rPr>
                <w:rFonts w:hint="default" w:ascii="Times New Roman" w:hAnsi="Times New Roman" w:cs="Times New Roman"/>
                <w:kern w:val="0"/>
                <w:szCs w:val="21"/>
                <w:lang w:val="en-US" w:eastAsia="zh-CN" w:bidi="ar"/>
              </w:rPr>
              <w:t>2</w:t>
            </w:r>
            <w:r>
              <w:rPr>
                <w:rFonts w:hint="default" w:ascii="Times New Roman" w:hAnsi="Times New Roman" w:cs="Times New Roman"/>
                <w:kern w:val="0"/>
                <w:szCs w:val="21"/>
                <w:lang w:bidi="ar"/>
              </w:rPr>
              <w:t xml:space="preserve">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专业方向课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专业拓展课</w:t>
            </w:r>
            <w:r>
              <w:rPr>
                <w:rFonts w:hint="default" w:ascii="Times New Roman" w:hAnsi="Times New Roman" w:cs="Times New Roman"/>
                <w:szCs w:val="21"/>
                <w:lang w:val="en-US" w:eastAsia="zh-CN"/>
              </w:rPr>
              <w:t>程</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0.9 %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实践教学环节</w:t>
            </w: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公共基础实践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8</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3.2 %</w:t>
            </w:r>
          </w:p>
        </w:tc>
        <w:tc>
          <w:tcPr>
            <w:tcW w:w="1378"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38</w:t>
            </w:r>
          </w:p>
        </w:tc>
        <w:tc>
          <w:tcPr>
            <w:tcW w:w="138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950"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457"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专业综合实践</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30</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12.2 %</w:t>
            </w:r>
          </w:p>
        </w:tc>
        <w:tc>
          <w:tcPr>
            <w:tcW w:w="1378"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381" w:type="dxa"/>
            <w:vMerge w:val="continue"/>
            <w:vAlign w:val="center"/>
          </w:tcPr>
          <w:p>
            <w:pPr>
              <w:keepNext w:val="0"/>
              <w:keepLines w:val="0"/>
              <w:pageBreakBefore w:val="0"/>
              <w:kinsoku/>
              <w:wordWrap/>
              <w:overflowPunct/>
              <w:topLinePunct w:val="0"/>
              <w:bidi w:val="0"/>
              <w:snapToGrid w:val="0"/>
              <w:spacing w:beforeAutospacing="0" w:afterAutospacing="0" w:line="240" w:lineRule="auto"/>
              <w:ind w:left="0" w:leftChars="0" w:right="0" w:rightChars="0"/>
              <w:jc w:val="center"/>
              <w:rPr>
                <w:rFonts w:hint="default" w:ascii="Times New Roman" w:hAnsi="Times New Roman" w:cs="Times New Roman"/>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4407" w:type="dxa"/>
            <w:gridSpan w:val="2"/>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合计总学分</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246.5</w:t>
            </w:r>
          </w:p>
        </w:tc>
        <w:tc>
          <w:tcPr>
            <w:tcW w:w="1377"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78"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c>
          <w:tcPr>
            <w:tcW w:w="1381"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w:t>
            </w:r>
          </w:p>
        </w:tc>
      </w:tr>
    </w:tbl>
    <w:p>
      <w:pPr>
        <w:keepNext w:val="0"/>
        <w:keepLines w:val="0"/>
        <w:pageBreakBefore w:val="0"/>
        <w:widowControl w:val="0"/>
        <w:kinsoku/>
        <w:wordWrap/>
        <w:overflowPunct/>
        <w:topLinePunct w:val="0"/>
        <w:autoSpaceDE w:val="0"/>
        <w:autoSpaceDN w:val="0"/>
        <w:bidi w:val="0"/>
        <w:adjustRightInd w:val="0"/>
        <w:snapToGrid w:val="0"/>
        <w:spacing w:before="81" w:beforeLines="25" w:beforeAutospacing="0" w:after="81" w:afterLines="25" w:afterAutospacing="0" w:line="300" w:lineRule="auto"/>
        <w:ind w:left="0" w:leftChars="0" w:right="0" w:rightChars="0" w:firstLine="422" w:firstLineChars="200"/>
        <w:jc w:val="both"/>
        <w:textAlignment w:val="auto"/>
        <w:outlineLvl w:val="2"/>
        <w:rPr>
          <w:rFonts w:hint="default" w:ascii="Times New Roman" w:hAnsi="Times New Roman" w:cs="Times New Roman"/>
          <w:b/>
          <w:bCs/>
          <w:szCs w:val="21"/>
        </w:rPr>
      </w:pPr>
      <w:bookmarkStart w:id="63" w:name="_Toc19473"/>
      <w:r>
        <w:rPr>
          <w:rFonts w:hint="default" w:ascii="Times New Roman" w:hAnsi="Times New Roman" w:cs="Times New Roman"/>
          <w:b/>
          <w:bCs/>
          <w:szCs w:val="21"/>
        </w:rPr>
        <w:t>（二）各教学环节学分数、学时数分配表</w:t>
      </w:r>
      <w:bookmarkEnd w:id="63"/>
    </w:p>
    <w:tbl>
      <w:tblPr>
        <w:tblStyle w:val="4"/>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761"/>
        <w:gridCol w:w="1761"/>
        <w:gridCol w:w="297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总学分</w:t>
            </w:r>
          </w:p>
        </w:tc>
        <w:tc>
          <w:tcPr>
            <w:tcW w:w="176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246.5</w:t>
            </w: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必修学分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课内教学学分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实验教学学分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课外科技活动学分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集中实践教学环节学分</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总学时</w:t>
            </w:r>
          </w:p>
        </w:tc>
        <w:tc>
          <w:tcPr>
            <w:tcW w:w="1761" w:type="dxa"/>
            <w:vMerge w:val="restart"/>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4688</w:t>
            </w: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（1）</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必修课学时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选修课学时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（2）</w:t>
            </w: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课内教学学时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1761" w:type="dxa"/>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p>
        </w:tc>
        <w:tc>
          <w:tcPr>
            <w:tcW w:w="2972"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实践教学学时</w:t>
            </w:r>
          </w:p>
        </w:tc>
        <w:tc>
          <w:tcPr>
            <w:tcW w:w="1666"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61"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实践总学分</w:t>
            </w:r>
          </w:p>
        </w:tc>
        <w:tc>
          <w:tcPr>
            <w:tcW w:w="1761" w:type="dxa"/>
            <w:vAlign w:val="center"/>
          </w:tcPr>
          <w:p>
            <w:pPr>
              <w:keepNext w:val="0"/>
              <w:keepLines w:val="0"/>
              <w:pageBreakBefore w:val="0"/>
              <w:widowControl/>
              <w:kinsoku/>
              <w:wordWrap/>
              <w:overflowPunct/>
              <w:topLinePunct w:val="0"/>
              <w:bidi w:val="0"/>
              <w:snapToGrid w:val="0"/>
              <w:spacing w:beforeAutospacing="0" w:afterAutospacing="0" w:line="240" w:lineRule="auto"/>
              <w:ind w:left="0" w:leftChars="0" w:right="0" w:rightChars="0"/>
              <w:jc w:val="center"/>
              <w:textAlignment w:val="center"/>
              <w:rPr>
                <w:rFonts w:hint="default" w:ascii="Times New Roman" w:hAnsi="Times New Roman" w:cs="Times New Roman"/>
                <w:szCs w:val="21"/>
              </w:rPr>
            </w:pPr>
            <w:r>
              <w:rPr>
                <w:rFonts w:hint="default" w:ascii="Times New Roman" w:hAnsi="Times New Roman" w:cs="Times New Roman"/>
                <w:kern w:val="0"/>
                <w:szCs w:val="21"/>
                <w:lang w:bidi="ar"/>
              </w:rPr>
              <w:t>95.5</w:t>
            </w:r>
          </w:p>
        </w:tc>
        <w:tc>
          <w:tcPr>
            <w:tcW w:w="4733" w:type="dxa"/>
            <w:gridSpan w:val="2"/>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实践总学分占总学分比例</w:t>
            </w:r>
          </w:p>
        </w:tc>
        <w:tc>
          <w:tcPr>
            <w:tcW w:w="1666"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rightChars="0"/>
              <w:jc w:val="center"/>
              <w:rPr>
                <w:rFonts w:hint="default" w:ascii="Times New Roman" w:hAnsi="Times New Roman" w:cs="Times New Roman"/>
                <w:szCs w:val="21"/>
              </w:rPr>
            </w:pPr>
            <w:r>
              <w:rPr>
                <w:rFonts w:hint="default" w:ascii="Times New Roman" w:hAnsi="Times New Roman" w:cs="Times New Roman"/>
                <w:szCs w:val="21"/>
              </w:rPr>
              <w:t>38.7 %</w:t>
            </w:r>
          </w:p>
        </w:tc>
      </w:tr>
    </w:tbl>
    <w:p>
      <w:bookmarkStart w:id="64" w:name="_GoBack"/>
      <w:bookmarkEnd w:id="6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C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25" w:afterLines="25" w:line="300" w:lineRule="auto"/>
      <w:ind w:firstLine="200" w:firstLineChars="200"/>
      <w:outlineLvl w:val="2"/>
    </w:pPr>
    <w:rPr>
      <w:rFonts w:ascii="宋体" w:hAnsi="宋体"/>
      <w:b/>
      <w:bCs/>
      <w:color w:val="000000"/>
      <w:kern w:val="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表格"/>
    <w:basedOn w:val="1"/>
    <w:qFormat/>
    <w:uiPriority w:val="0"/>
    <w:pPr>
      <w:snapToGrid w:val="0"/>
      <w:jc w:val="center"/>
    </w:pPr>
    <w:rPr>
      <w:rFonts w:ascii="方正书宋简体" w:hAnsi="宋体" w:eastAsia="方正书宋简体" w:cs="方正书宋简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风风火火1395031505</cp:lastModifiedBy>
  <dcterms:modified xsi:type="dcterms:W3CDTF">2023-04-26T02:13:06Z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