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bottom w:val="none" w:color="auto" w:sz="0" w:space="1"/>
        </w:pBdr>
        <w:snapToGrid w:val="0"/>
        <w:jc w:val="both"/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附件1-1</w:t>
      </w:r>
    </w:p>
    <w:p>
      <w:pPr>
        <w:widowControl w:val="0"/>
        <w:jc w:val="center"/>
        <w:rPr>
          <w:rFonts w:hint="default" w:ascii="Arial" w:hAnsi="Arial" w:eastAsia="黑体" w:cs="Times New Roman"/>
          <w:kern w:val="2"/>
          <w:sz w:val="20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辽河石油职业技术学院2023年高层次和急需紧缺人才计划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信息表</w:t>
      </w:r>
    </w:p>
    <w:bookmarkEnd w:id="0"/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96"/>
        <w:gridCol w:w="1574"/>
        <w:gridCol w:w="1100"/>
        <w:gridCol w:w="1943"/>
        <w:gridCol w:w="661"/>
        <w:gridCol w:w="692"/>
        <w:gridCol w:w="930"/>
        <w:gridCol w:w="1398"/>
        <w:gridCol w:w="1636"/>
        <w:gridCol w:w="2028"/>
        <w:gridCol w:w="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2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油气地质勘探技术专业教师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负责地质资源勘探与工程类相关专业理论和实践教学、专业和实践基地建设、社会技术服务和指导学生参加技能大赛、科研及教学改革工作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地质资源与地质工程类、地质学类、矿业工程类。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3、具备硕士学位且有10年及以上相关专业工作经历；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4、具备高级技师职业资格（国家职业资格一级），学历可放宽至大学专科；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5、获得本专业相关省级及以上技术能手（首席技师）或省级技能大赛第一名（或国家前5名）或省级及以上工匠称号等，学历可放宽至大学专科。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油气智能开采技术专业教师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负责油气智能开采类相关专业理论和实践教学、专业和实践基地建设、社会技术服务和指导学生参加技能大赛、科研及教学改革工作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地矿类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石油与天然气工程类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石油化工技术专业教师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负责石油化工类相关专业理论和实践教学、专业和实践基地建设、社会技术服务和指导学生参加技能大赛、科研及教学改革工作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化学类、化工与制药类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化学类、化学工程与技术类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化学与环境工程系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应用化工技术专业教师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负责应用化工类相关专业理论和实践教学、专业和实践基地建设、社会技术服务和指导学生参加技能大赛、科研及教学改革工作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化学类、化工与制药类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化学类、化学工程与技术类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机械制造及自动化专业教师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负责机械制造及自动化类相关专业理论和实践教学、专业和实训基地建设、社会技术服务和指导学生参加技能大赛、科研及教学改革工作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智能制造系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智能控制技术专业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负责智能控制技术专业相关理论和实践教学、专业和实训基地建设、社会技术服务和指导学生参加技能大赛、科研及教学改革工作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电气信息类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电子工程类、电子科学与技术类、控制科学与工程类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汽车与通用航空系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汽车制造与试验技术专业教师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负责汽车制造与试验技术专业理论和实践教学、社会技术服务和指导学生参加技能大赛、科研及教学改革工作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机械类：车辆工程；汽车服务工程；汽车维修工程教育；智能车辆工程；新能源汽车工程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机械工程类车辆工程方向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化工安全技术专业教师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负责化工安全类相关专业理论和实践教学、专业和实践基地及应急管理学院建设、社会技术服务和指导学生参加技能大赛、科研及教学改革工作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环境与安全类安全工程方向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公共管理类应急管理方向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环境科学与工程类安全工程领域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应急管理系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质量管理与认证专业教师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负责质量管理与认证专业相关理论和实践教学、社会技术服务和指导学生参加技能大赛、科研及教学改革工作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电子商务类、工商管理类、管理科学与工程类、工业工程类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电子商务类、工商管理类、管理科学与工程类、工业工程类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党委思政部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负责思政方面的教学、教研工作，深化教学改革创新，主持思政课程研发。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哲学类，法学类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马克思主义理论类、哲学类、理论经济学类、政治学类、教育学类、中国近现代史、国际关系史</w:t>
            </w:r>
          </w:p>
        </w:tc>
        <w:tc>
          <w:tcPr>
            <w:tcW w:w="7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1、具备副高级及以上专业技术资格；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2、具备博士学位；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3、具备硕士学位且有10年及以上相关专业工作经历；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负责中文教学、课题的研究；负责教学改革工程、教研、科研、学术交流等工作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中国语言文学类，汉语言与文秘类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负责英语教学、课题的研究；负责教学改革工程、教研、科研、学术交流等工作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外国语言文学类（英语方向）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外国语言文学类（英语方向）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负责数学教学、课题的研究；负责教学改革工程、教研、科研、学术交流等工作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负责学院体育教学、科研、学科与专业建设工作；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体育学科人才培养和师资队伍建设，抓好学科梯队建设工作。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智慧校园管理中心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负责智慧校园管理平台搭建及大数据处理与分析、科研与社会技术服务工作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7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000000"/>
    <w:rsid w:val="37ED32EE"/>
    <w:rsid w:val="6655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1927</Words>
  <Characters>1941</Characters>
  <Lines>0</Lines>
  <Paragraphs>0</Paragraphs>
  <TotalTime>0</TotalTime>
  <ScaleCrop>false</ScaleCrop>
  <LinksUpToDate>false</LinksUpToDate>
  <CharactersWithSpaces>1943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2023-03-17T06:29:00Z</dcterms:created>
  <dc:creator>A</dc:creator>
  <cp:lastModifiedBy>杨雪</cp:lastModifiedBy>
  <dcterms:modified xsi:type="dcterms:W3CDTF">2023-03-17T06:33:54Z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AF5C96EDD35E4D3FA03FD06D7AB433A0</vt:lpwstr>
  </property>
</Properties>
</file>