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楷体_GB2312" w:eastAsia="方正楷体_GB2312" w:cs="方正楷体_GB2312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</w:p>
    <w:p>
      <w:pPr>
        <w:widowControl/>
        <w:jc w:val="center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辽河石油职业技术学院2022年公开招聘教职员工计划信息表</w:t>
      </w:r>
    </w:p>
    <w:tbl>
      <w:tblPr>
        <w:tblStyle w:val="9"/>
        <w:tblpPr w:leftFromText="180" w:rightFromText="180" w:vertAnchor="text" w:horzAnchor="page" w:tblpX="967" w:tblpY="113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362"/>
        <w:gridCol w:w="1292"/>
        <w:gridCol w:w="1026"/>
        <w:gridCol w:w="1932"/>
        <w:gridCol w:w="456"/>
        <w:gridCol w:w="860"/>
        <w:gridCol w:w="759"/>
        <w:gridCol w:w="2428"/>
        <w:gridCol w:w="3288"/>
        <w:gridCol w:w="1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 位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简介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3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招聘条件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研究生专业</w:t>
            </w: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石油工程系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油气地质勘探技术专业教师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负责油气地质勘探技术专业教学工作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地质工程，矿产普查与勘探，地球探测与信息技术，地质资源与地质工程，资源与环境, 海洋地质，地质学（矿物学、岩石学、矿床学）。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石油工程系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油气地质勘探技术专业实训教师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负责油气地质勘探技术专业相关实训教学及管理工作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地质工程，资源勘查工程，勘查技术与工程，矿物资源工程，地质学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地质工程，矿产普查与勘探，地球探测与信息技术，地质资源与地质工程，资源与环境, 海洋地质，地质学、地质学（矿物学、岩石学、矿床学）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化学与环境工程系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应用化工技术专业教师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负责应用化工技术专业教学工作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无机化学，分析化学，有机化学，材料化学，化学生物学，环境化学，化学工程，化学工艺，化学工程与技术化学工程，化学工艺，工业催化，化学工程与技术，应用化学，环境科学，环境工程、(物理)化学、环境科学与工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化学与环境工程系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应用化工技术专业实训教师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负责应用化工技术专业相关实训教学工作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化学，应用化学，化学生物学，化学工程与工艺，化学工程与工业生物工程，精细化工，化工与制药。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无机化学，分析化学，有机化学，材料化学，化学生物学，环境化学，化学工程，化学工艺，化学工程与技术化学工程，化学工艺，工业催化，化学工程与技术，应用化学，环境科学，环境工程、(物理)化学、环境科学与工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 位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简介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3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招聘条件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研究生专业</w:t>
            </w:r>
          </w:p>
        </w:tc>
        <w:tc>
          <w:tcPr>
            <w:tcW w:w="3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智能制造系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机械制造及自动化实习实训教师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负责机械制造及自动化技术专业相关实训教学及管理工作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机械工程，机械设计制造及其自动化，材料成型及控制工程，机电技术教育，过程装备与控制工程，机械电子工程，机器人工程，农业机械化及其自动化，智能制造工程，机器人工程、（智能）车辆工程。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机械制造及其自动化，机械电子工程，机械设计及理论，农业机械化及其自动化、机械（工程）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智能制造系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电工电子类课程实训教师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负责电工电子类课程相关实训教学及管理工作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电气工程及其自动化，自动化，电气工程与智能控制，测控技术与仪器、电子科学与技术，农业电气化与自动化，机器人工程，物联网工程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电机与电器，电力系统及其自动化，电力电子与电力传动，电工理论与新技术，农业电气化与自动化，信号与信息处理、检测技术与自动化装置、模式识别与智能系统、控制理论与控制工程、控制科学与工程、控制工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应急管理系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化工安全技术专业实训教师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负责化工安全技术专业教学工作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化工安全工程，安全工程，应急技术与管理，消防工程，抢险救援指挥与技术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安全科学与工程，安全工程，化学工程，化学工艺，化学工程与技术化学工程，化学工艺，工业催化，化学工程与技术，应用化学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思政教学部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思政课教师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负责思想政治理论课程教学工作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马克思主义哲学，中国哲学，马克思主义基本原理，马克思主义中国化研究，思想政治教育，马克思主义理论与思想，中共党史，马克思主义理论与思想政治教育、马克思主义理论(与思想政治教育)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中共党员或中共预备党员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基础教学部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中文教师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负责中文课程教学工作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文艺学，语言学及应用语言学，汉语言文字学，中国古典文献学，中国古代文学，中国现当代文学，文学阅读与文学教育、汉语国际教育。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 位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简介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3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招聘条件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研究生专业</w:t>
            </w:r>
          </w:p>
        </w:tc>
        <w:tc>
          <w:tcPr>
            <w:tcW w:w="3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基础教学部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数学教师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负责数学课程教学工作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基础数学，计算数学，概率论与数理统计，应用数学，理论物理，统计学，应用统计硕士，数学，原子与分子物理，凝聚态物理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智慧校园管理中心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信息技术实训教师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负责校园网站及宣传相关工作资源制作，以及信息中心管理工作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计算机科学与技术，数据科学与大数据技术，软件工程，网络工程，信息安全，网络与新媒体，大数据管理与应用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计算机技术，计算机系统结构，计算机软件与理论，计算机应用技术，软件工程，计算机科学与技术，教育技术学。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学生工作处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男公寓管理辅导员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负责学生公寓管理及大学生思想政治教育相关工作。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中共党员或中共预备党员(男性）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学生工作处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女公寓管理辅导员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负责学生公寓管理及大学生思想政治教育相关工作。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中共党员或中共预备党员(女性）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财务处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财务处职员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负责办理现金收付银行结算及各类业务的会计核算工作。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财务管理、会计（学）、会计硕士、审计（学）、审计硕士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图书馆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图书管理职员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负责图书及档案管理相关工作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图书馆学，情报学，档案学，图书情报（硕士）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</w:pPr>
    </w:p>
    <w:p/>
    <w:p>
      <w:pPr>
        <w:widowControl/>
        <w:jc w:val="left"/>
        <w:textAlignment w:val="center"/>
      </w:pPr>
    </w:p>
    <w:sectPr>
      <w:headerReference r:id="rId3" w:type="default"/>
      <w:footerReference r:id="rId4" w:type="default"/>
      <w:pgSz w:w="16838" w:h="11906" w:orient="landscape"/>
      <w:pgMar w:top="669" w:right="873" w:bottom="567" w:left="873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B9DE56-69CF-4FDE-AA2F-3A0B44E27B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766E4F6-67CB-4940-812C-CA52CDD644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496A2F2-A615-4DE2-96F9-62F599C07B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both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GI5MDIxMjk0ZGNkYTNlM2RkNDEwOWExNzY1MzgifQ=="/>
    <w:docVar w:name="KSO_WPS_MARK_KEY" w:val="28d340b2-b955-4a9a-92b9-30b7a8e248f3"/>
  </w:docVars>
  <w:rsids>
    <w:rsidRoot w:val="00301C56"/>
    <w:rsid w:val="00301C56"/>
    <w:rsid w:val="008531B5"/>
    <w:rsid w:val="009A0E78"/>
    <w:rsid w:val="00C2697D"/>
    <w:rsid w:val="015476DB"/>
    <w:rsid w:val="057915D7"/>
    <w:rsid w:val="0A6370B4"/>
    <w:rsid w:val="1A6710E8"/>
    <w:rsid w:val="24C83E91"/>
    <w:rsid w:val="266F2F9A"/>
    <w:rsid w:val="2CFF7F6B"/>
    <w:rsid w:val="2D542766"/>
    <w:rsid w:val="2E3A17D7"/>
    <w:rsid w:val="32510B78"/>
    <w:rsid w:val="350E06C1"/>
    <w:rsid w:val="38342CDD"/>
    <w:rsid w:val="3D9D1DE0"/>
    <w:rsid w:val="457B6EDA"/>
    <w:rsid w:val="494D7E67"/>
    <w:rsid w:val="51A837FA"/>
    <w:rsid w:val="666F025E"/>
    <w:rsid w:val="6B86066A"/>
    <w:rsid w:val="6BE62AFE"/>
    <w:rsid w:val="6CBC6D31"/>
    <w:rsid w:val="70CC520D"/>
    <w:rsid w:val="70D920DE"/>
    <w:rsid w:val="75E43528"/>
    <w:rsid w:val="7E2E1FFB"/>
    <w:rsid w:val="7FE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 w:line="300" w:lineRule="atLeast"/>
      <w:jc w:val="left"/>
      <w:outlineLvl w:val="2"/>
    </w:pPr>
    <w:rPr>
      <w:rFonts w:ascii="微软雅黑" w:hAnsi="微软雅黑" w:eastAsia="微软雅黑"/>
      <w:b/>
      <w:color w:val="969696"/>
      <w:kern w:val="0"/>
      <w:sz w:val="18"/>
      <w:szCs w:val="1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adjustRightInd w:val="0"/>
      <w:snapToGrid w:val="0"/>
      <w:spacing w:after="200"/>
    </w:pPr>
    <w:rPr>
      <w:rFonts w:ascii="Times New Roman" w:hAnsi="Times New Roman" w:eastAsia="微软雅黑" w:cs="Times New Roman"/>
      <w:sz w:val="22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hAnsi="Courier New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2077</Words>
  <Characters>2087</Characters>
  <Lines>2</Lines>
  <Paragraphs>4</Paragraphs>
  <TotalTime>10</TotalTime>
  <ScaleCrop>false</ScaleCrop>
  <LinksUpToDate>false</LinksUpToDate>
  <CharactersWithSpaces>2092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2021-11-10T10:25:00Z</dcterms:created>
  <dc:creator>野_</dc:creator>
  <cp:lastModifiedBy>文锦</cp:lastModifiedBy>
  <cp:lastPrinted>2022-08-30T03:24:00Z</cp:lastPrinted>
  <dcterms:modified xsi:type="dcterms:W3CDTF">2022-12-01T10:50:09Z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722FD88D40524037BF91760DFADFBA7E</vt:lpwstr>
  </property>
  <property fmtid="{D5CDD505-2E9C-101B-9397-08002B2CF9AE}" pid="4" name="KSOSaveFontToCloudKey">
    <vt:lpwstr>491349821_cloud</vt:lpwstr>
  </property>
  <property fmtid="{D5CDD505-2E9C-101B-9397-08002B2CF9AE}" pid="5" name="commondata">
    <vt:lpwstr>eyJoZGlkIjoiN2FlMWY5ZWZiN2U4M2NhYTU2NTBmZGI4MzdlOTU4MmIifQ==</vt:lpwstr>
  </property>
</Properties>
</file>